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lang w:val="en-US" w:eastAsia="zh-CN"/>
        </w:rPr>
        <w:t>2025</w:t>
      </w:r>
      <w:r>
        <w:rPr>
          <w:rFonts w:hint="eastAsia" w:ascii="方正小标宋简体" w:hAnsi="方正小标宋简体" w:eastAsia="方正小标宋简体" w:cs="方正小标宋简体"/>
          <w:b w:val="0"/>
          <w:bCs w:val="0"/>
          <w:sz w:val="44"/>
          <w:szCs w:val="44"/>
          <w:u w:val="none"/>
        </w:rPr>
        <w:t>年度</w:t>
      </w:r>
      <w:r>
        <w:rPr>
          <w:rFonts w:hint="eastAsia" w:ascii="方正小标宋简体" w:hAnsi="方正小标宋简体" w:eastAsia="方正小标宋简体" w:cs="方正小标宋简体"/>
          <w:b w:val="0"/>
          <w:bCs w:val="0"/>
          <w:sz w:val="44"/>
          <w:szCs w:val="44"/>
          <w:u w:val="none"/>
          <w:lang w:val="en-US" w:eastAsia="zh-CN"/>
        </w:rPr>
        <w:t>锡林郭勒盟安神医院</w:t>
      </w:r>
      <w:r>
        <w:rPr>
          <w:rFonts w:hint="eastAsia" w:ascii="方正小标宋简体" w:hAnsi="方正小标宋简体" w:eastAsia="方正小标宋简体" w:cs="方正小标宋简体"/>
          <w:b w:val="0"/>
          <w:bCs w:val="0"/>
          <w:sz w:val="44"/>
          <w:szCs w:val="44"/>
          <w:u w:val="none"/>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u w:val="none"/>
        </w:rPr>
      </w:pPr>
      <w:r>
        <w:rPr>
          <w:rFonts w:hint="eastAsia" w:ascii="黑体" w:hAnsi="黑体" w:eastAsia="黑体" w:cs="黑体"/>
          <w:sz w:val="32"/>
          <w:szCs w:val="32"/>
        </w:rPr>
        <w:t>批复时间：</w:t>
      </w:r>
      <w:r>
        <w:rPr>
          <w:rFonts w:hint="eastAsia" w:ascii="黑体" w:hAnsi="黑体" w:eastAsia="黑体" w:cs="黑体"/>
          <w:sz w:val="32"/>
          <w:szCs w:val="32"/>
          <w:u w:val="none"/>
        </w:rPr>
        <w:t xml:space="preserve"> </w:t>
      </w:r>
      <w:r>
        <w:rPr>
          <w:rFonts w:hint="eastAsia" w:ascii="黑体" w:hAnsi="黑体" w:eastAsia="黑体" w:cs="黑体"/>
          <w:sz w:val="32"/>
          <w:szCs w:val="32"/>
          <w:u w:val="none"/>
          <w:lang w:val="en-US" w:eastAsia="zh-CN"/>
        </w:rPr>
        <w:t>2025</w:t>
      </w:r>
      <w:r>
        <w:rPr>
          <w:rFonts w:hint="eastAsia" w:ascii="黑体" w:hAnsi="黑体" w:eastAsia="黑体" w:cs="黑体"/>
          <w:sz w:val="32"/>
          <w:szCs w:val="32"/>
          <w:u w:val="none"/>
        </w:rPr>
        <w:t>年</w:t>
      </w:r>
      <w:r>
        <w:rPr>
          <w:rFonts w:hint="eastAsia" w:ascii="黑体" w:hAnsi="黑体" w:eastAsia="黑体" w:cs="黑体"/>
          <w:sz w:val="32"/>
          <w:szCs w:val="32"/>
          <w:u w:val="none"/>
          <w:lang w:val="en-US" w:eastAsia="zh-CN"/>
        </w:rPr>
        <w:t>3</w:t>
      </w:r>
      <w:r>
        <w:rPr>
          <w:rFonts w:hint="eastAsia" w:ascii="黑体" w:hAnsi="黑体" w:eastAsia="黑体" w:cs="黑体"/>
          <w:sz w:val="32"/>
          <w:szCs w:val="32"/>
          <w:u w:val="none"/>
        </w:rPr>
        <w:t>月</w:t>
      </w:r>
      <w:r>
        <w:rPr>
          <w:rFonts w:hint="eastAsia" w:ascii="黑体" w:hAnsi="黑体" w:eastAsia="黑体" w:cs="黑体"/>
          <w:sz w:val="32"/>
          <w:szCs w:val="32"/>
          <w:u w:val="none"/>
          <w:lang w:val="en-US" w:eastAsia="zh-CN"/>
        </w:rPr>
        <w:t>5</w:t>
      </w:r>
      <w:r>
        <w:rPr>
          <w:rFonts w:hint="eastAsia" w:ascii="黑体" w:hAnsi="黑体" w:eastAsia="黑体" w:cs="黑体"/>
          <w:sz w:val="32"/>
          <w:szCs w:val="32"/>
          <w:u w:val="none"/>
        </w:rPr>
        <w:t>日</w:t>
      </w:r>
    </w:p>
    <w:p>
      <w:pPr>
        <w:pStyle w:val="12"/>
        <w:pageBreakBefore w:val="0"/>
        <w:kinsoku/>
        <w:wordWrap/>
        <w:overflowPunct/>
        <w:topLinePunct w:val="0"/>
        <w:bidi w:val="0"/>
        <w:spacing w:after="0" w:line="600" w:lineRule="exact"/>
        <w:ind w:left="0" w:leftChars="0" w:firstLine="2240" w:firstLineChars="700"/>
        <w:jc w:val="both"/>
        <w:rPr>
          <w:rFonts w:hint="default" w:ascii="黑体" w:hAnsi="黑体" w:eastAsia="黑体" w:cs="黑体"/>
        </w:rPr>
      </w:pPr>
      <w:r>
        <w:rPr>
          <w:rFonts w:ascii="黑体" w:hAnsi="黑体" w:eastAsia="黑体" w:cs="黑体"/>
          <w:sz w:val="32"/>
          <w:szCs w:val="32"/>
        </w:rPr>
        <w:t>公开时间：</w:t>
      </w:r>
      <w:r>
        <w:rPr>
          <w:rFonts w:hint="eastAsia" w:ascii="黑体" w:hAnsi="黑体" w:eastAsia="黑体" w:cs="黑体"/>
          <w:sz w:val="32"/>
          <w:szCs w:val="32"/>
          <w:lang w:val="en-US" w:eastAsia="zh-CN"/>
        </w:rPr>
        <w:t xml:space="preserve"> </w:t>
      </w:r>
      <w:r>
        <w:rPr>
          <w:rFonts w:hint="eastAsia" w:ascii="黑体" w:hAnsi="黑体" w:eastAsia="黑体" w:cs="黑体"/>
          <w:sz w:val="32"/>
          <w:szCs w:val="32"/>
          <w:u w:val="none"/>
          <w:lang w:val="en-US" w:eastAsia="zh-CN"/>
        </w:rPr>
        <w:t>2025</w:t>
      </w:r>
      <w:r>
        <w:rPr>
          <w:rFonts w:ascii="黑体" w:hAnsi="黑体" w:eastAsia="黑体" w:cs="黑体"/>
          <w:sz w:val="32"/>
          <w:szCs w:val="32"/>
          <w:u w:val="none"/>
        </w:rPr>
        <w:t>年</w:t>
      </w:r>
      <w:r>
        <w:rPr>
          <w:rFonts w:hint="eastAsia" w:ascii="黑体" w:hAnsi="黑体" w:eastAsia="黑体" w:cs="黑体"/>
          <w:sz w:val="32"/>
          <w:szCs w:val="32"/>
          <w:u w:val="none"/>
          <w:lang w:val="en-US" w:eastAsia="zh-CN"/>
        </w:rPr>
        <w:t>3</w:t>
      </w:r>
      <w:r>
        <w:rPr>
          <w:rFonts w:ascii="黑体" w:hAnsi="黑体" w:eastAsia="黑体" w:cs="黑体"/>
          <w:sz w:val="32"/>
          <w:szCs w:val="32"/>
          <w:u w:val="none"/>
        </w:rPr>
        <w:t>月</w:t>
      </w:r>
      <w:r>
        <w:rPr>
          <w:rFonts w:hint="eastAsia" w:ascii="黑体" w:hAnsi="黑体" w:eastAsia="黑体" w:cs="黑体"/>
          <w:sz w:val="32"/>
          <w:szCs w:val="32"/>
          <w:u w:val="none"/>
          <w:lang w:val="en-US" w:eastAsia="zh-CN"/>
        </w:rPr>
        <w:t>14</w:t>
      </w:r>
      <w:bookmarkStart w:id="0" w:name="_GoBack"/>
      <w:bookmarkEnd w:id="0"/>
      <w:r>
        <w:rPr>
          <w:rFonts w:ascii="黑体" w:hAnsi="黑体" w:eastAsia="黑体" w:cs="黑体"/>
          <w:sz w:val="32"/>
          <w:szCs w:val="32"/>
          <w:u w:val="none"/>
        </w:rPr>
        <w:t>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4"/>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pPr>
        <w:pStyle w:val="9"/>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二、部门（单位）机构设置及预算单位构成情况</w:t>
      </w:r>
    </w:p>
    <w:p>
      <w:pPr>
        <w:pStyle w:val="9"/>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年度</w:t>
      </w:r>
      <w:r>
        <w:rPr>
          <w:rFonts w:hint="eastAsia" w:ascii="仿宋" w:hAnsi="仿宋" w:eastAsia="仿宋" w:cs="仿宋"/>
          <w:sz w:val="32"/>
          <w:szCs w:val="32"/>
          <w:highlight w:val="none"/>
          <w:lang w:val="en-US" w:eastAsia="zh-CN"/>
        </w:rPr>
        <w:t>锡林郭勒盟安神医院</w:t>
      </w:r>
      <w:r>
        <w:rPr>
          <w:rFonts w:hint="eastAsia" w:ascii="仿宋" w:hAnsi="仿宋" w:eastAsia="仿宋" w:cs="仿宋"/>
          <w:sz w:val="32"/>
          <w:szCs w:val="32"/>
          <w:highlight w:val="none"/>
        </w:rPr>
        <w:t>主要工作任务及目标</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年度部门（单位）预算情况说明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9"/>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第五部分 </w:t>
      </w:r>
      <w:r>
        <w:rPr>
          <w:rFonts w:hint="eastAsia" w:ascii="黑体" w:hAnsi="黑体" w:eastAsia="黑体" w:cs="黑体"/>
          <w:sz w:val="32"/>
          <w:szCs w:val="32"/>
          <w:lang w:val="en-US" w:eastAsia="zh-CN"/>
        </w:rPr>
        <w:t>2025</w:t>
      </w:r>
      <w:r>
        <w:rPr>
          <w:rFonts w:hint="eastAsia" w:ascii="黑体" w:hAnsi="黑体" w:eastAsia="黑体" w:cs="黑体"/>
          <w:sz w:val="32"/>
          <w:szCs w:val="32"/>
        </w:rPr>
        <w:t>年度部门（单位）预算表</w:t>
      </w:r>
    </w:p>
    <w:p>
      <w:pPr>
        <w:pStyle w:val="9"/>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9"/>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9"/>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12"/>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6"/>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第一部分  部门（单位）概况</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numPr>
          <w:ilvl w:val="0"/>
          <w:numId w:val="0"/>
        </w:numPr>
        <w:kinsoku/>
        <w:wordWrap/>
        <w:overflowPunct/>
        <w:topLinePunct w:val="0"/>
        <w:bidi w:val="0"/>
        <w:spacing w:line="600" w:lineRule="exact"/>
        <w:ind w:left="17" w:leftChars="8" w:firstLine="624" w:firstLineChars="195"/>
        <w:outlineLvl w:val="0"/>
        <w:rPr>
          <w:rFonts w:ascii="仿宋" w:hAnsi="仿宋" w:eastAsia="仿宋"/>
          <w:sz w:val="32"/>
        </w:rPr>
      </w:pPr>
      <w:r>
        <w:rPr>
          <w:rFonts w:hint="eastAsia" w:ascii="仿宋" w:hAnsi="仿宋" w:eastAsia="仿宋" w:cs="Times New Roman"/>
          <w:kern w:val="2"/>
          <w:sz w:val="32"/>
          <w:szCs w:val="21"/>
          <w:lang w:val="en-US" w:eastAsia="zh-CN" w:bidi="ar-SA"/>
        </w:rPr>
        <w:t>一、</w:t>
      </w:r>
      <w:r>
        <w:rPr>
          <w:rFonts w:hint="eastAsia" w:eastAsia="黑体" w:cs="黑体"/>
          <w:b w:val="0"/>
          <w:bCs w:val="0"/>
          <w:sz w:val="32"/>
          <w:szCs w:val="36"/>
        </w:rPr>
        <w:t>主要职能职责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32" w:firstLineChars="200"/>
        <w:textAlignment w:val="auto"/>
        <w:outlineLvl w:val="0"/>
        <w:rPr>
          <w:rFonts w:ascii="仿宋" w:hAnsi="仿宋" w:eastAsia="仿宋"/>
          <w:sz w:val="32"/>
        </w:rPr>
      </w:pPr>
      <w:r>
        <w:rPr>
          <w:rFonts w:hint="eastAsia" w:ascii="仿宋" w:hAnsi="仿宋" w:eastAsia="仿宋"/>
          <w:spacing w:val="-2"/>
          <w:sz w:val="32"/>
        </w:rPr>
        <w:t>1.</w:t>
      </w:r>
      <w:r>
        <w:rPr>
          <w:rFonts w:ascii="仿宋" w:hAnsi="仿宋" w:eastAsia="仿宋"/>
          <w:spacing w:val="-2"/>
          <w:sz w:val="32"/>
        </w:rPr>
        <w:t>履行民政部门扶贫济困和上为国家分忧、下为民众解</w:t>
      </w:r>
      <w:r>
        <w:rPr>
          <w:rFonts w:ascii="仿宋" w:hAnsi="仿宋" w:eastAsia="仿宋"/>
          <w:spacing w:val="-4"/>
          <w:sz w:val="32"/>
        </w:rPr>
        <w:t>愁的职责，承担全盟的“三无”、“救助”、“流浪”精神</w:t>
      </w:r>
      <w:r>
        <w:rPr>
          <w:rFonts w:ascii="仿宋" w:hAnsi="仿宋" w:eastAsia="仿宋"/>
          <w:spacing w:val="-5"/>
          <w:sz w:val="32"/>
        </w:rPr>
        <w:t>病人，全盟优抚对象精神病人以及其他各类精神病人的收养</w:t>
      </w:r>
      <w:r>
        <w:rPr>
          <w:rFonts w:ascii="仿宋" w:hAnsi="仿宋" w:eastAsia="仿宋"/>
          <w:sz w:val="32"/>
        </w:rPr>
        <w:t>收治任务。</w:t>
      </w:r>
    </w:p>
    <w:p>
      <w:pPr>
        <w:keepNext w:val="0"/>
        <w:keepLines w:val="0"/>
        <w:pageBreakBefore w:val="0"/>
        <w:widowControl w:val="0"/>
        <w:tabs>
          <w:tab w:val="left" w:pos="1083"/>
        </w:tabs>
        <w:kinsoku/>
        <w:wordWrap/>
        <w:overflowPunct/>
        <w:topLinePunct w:val="0"/>
        <w:autoSpaceDE/>
        <w:autoSpaceDN/>
        <w:bidi w:val="0"/>
        <w:adjustRightInd/>
        <w:snapToGrid/>
        <w:spacing w:line="640" w:lineRule="exact"/>
        <w:ind w:right="0" w:firstLine="632" w:firstLineChars="200"/>
        <w:textAlignment w:val="auto"/>
        <w:rPr>
          <w:rFonts w:hint="eastAsia" w:ascii="仿宋" w:hAnsi="仿宋" w:eastAsia="仿宋"/>
          <w:spacing w:val="-2"/>
          <w:sz w:val="32"/>
        </w:rPr>
      </w:pPr>
      <w:r>
        <w:rPr>
          <w:rFonts w:ascii="仿宋" w:hAnsi="仿宋" w:eastAsia="仿宋"/>
          <w:spacing w:val="-2"/>
          <w:sz w:val="32"/>
        </w:rPr>
        <w:t>2</w:t>
      </w:r>
      <w:r>
        <w:rPr>
          <w:rFonts w:hint="eastAsia" w:ascii="仿宋" w:hAnsi="仿宋" w:eastAsia="仿宋"/>
          <w:spacing w:val="-2"/>
          <w:sz w:val="32"/>
        </w:rPr>
        <w:t>.</w:t>
      </w:r>
      <w:r>
        <w:rPr>
          <w:rFonts w:ascii="仿宋" w:hAnsi="仿宋" w:eastAsia="仿宋"/>
          <w:spacing w:val="-2"/>
          <w:sz w:val="32"/>
        </w:rPr>
        <w:t>承担锡林郭勒盟人民群众的心理健康促进和精神病 的医疗、防治、康复及教学、科研任务。</w:t>
      </w:r>
    </w:p>
    <w:p>
      <w:pPr>
        <w:keepNext w:val="0"/>
        <w:keepLines w:val="0"/>
        <w:pageBreakBefore w:val="0"/>
        <w:widowControl w:val="0"/>
        <w:tabs>
          <w:tab w:val="left" w:pos="1083"/>
        </w:tabs>
        <w:kinsoku/>
        <w:wordWrap/>
        <w:overflowPunct/>
        <w:topLinePunct w:val="0"/>
        <w:autoSpaceDE/>
        <w:autoSpaceDN/>
        <w:bidi w:val="0"/>
        <w:adjustRightInd/>
        <w:snapToGrid/>
        <w:spacing w:line="640" w:lineRule="exact"/>
        <w:ind w:right="0" w:firstLine="632" w:firstLineChars="200"/>
        <w:textAlignment w:val="auto"/>
        <w:rPr>
          <w:rFonts w:hint="eastAsia" w:ascii="仿宋" w:hAnsi="仿宋" w:eastAsia="仿宋"/>
          <w:spacing w:val="-2"/>
          <w:sz w:val="32"/>
        </w:rPr>
      </w:pPr>
      <w:r>
        <w:rPr>
          <w:rFonts w:ascii="仿宋" w:hAnsi="仿宋" w:eastAsia="仿宋"/>
          <w:spacing w:val="-2"/>
          <w:sz w:val="32"/>
        </w:rPr>
        <w:t>3.承担全盟精神残疾鉴定工作。</w:t>
      </w:r>
    </w:p>
    <w:p>
      <w:pPr>
        <w:keepNext w:val="0"/>
        <w:keepLines w:val="0"/>
        <w:pageBreakBefore w:val="0"/>
        <w:widowControl w:val="0"/>
        <w:tabs>
          <w:tab w:val="left" w:pos="1083"/>
        </w:tabs>
        <w:kinsoku/>
        <w:wordWrap/>
        <w:overflowPunct/>
        <w:topLinePunct w:val="0"/>
        <w:autoSpaceDE/>
        <w:autoSpaceDN/>
        <w:bidi w:val="0"/>
        <w:adjustRightInd/>
        <w:snapToGrid/>
        <w:spacing w:line="640" w:lineRule="exact"/>
        <w:ind w:right="0" w:firstLine="632" w:firstLineChars="200"/>
        <w:textAlignment w:val="auto"/>
        <w:rPr>
          <w:rFonts w:hint="eastAsia" w:ascii="仿宋" w:hAnsi="仿宋" w:eastAsia="仿宋"/>
          <w:spacing w:val="-2"/>
          <w:sz w:val="32"/>
        </w:rPr>
      </w:pPr>
      <w:r>
        <w:rPr>
          <w:rFonts w:ascii="仿宋" w:hAnsi="仿宋" w:eastAsia="仿宋"/>
          <w:spacing w:val="-2"/>
          <w:sz w:val="32"/>
        </w:rPr>
        <w:t>4.承担全盟参保职工精神病的收治任务。</w:t>
      </w:r>
    </w:p>
    <w:p>
      <w:pPr>
        <w:keepNext w:val="0"/>
        <w:keepLines w:val="0"/>
        <w:pageBreakBefore w:val="0"/>
        <w:widowControl w:val="0"/>
        <w:tabs>
          <w:tab w:val="left" w:pos="1083"/>
        </w:tabs>
        <w:kinsoku/>
        <w:wordWrap/>
        <w:overflowPunct/>
        <w:topLinePunct w:val="0"/>
        <w:autoSpaceDE/>
        <w:autoSpaceDN/>
        <w:bidi w:val="0"/>
        <w:adjustRightInd/>
        <w:snapToGrid/>
        <w:spacing w:line="640" w:lineRule="exact"/>
        <w:ind w:right="0" w:firstLine="632" w:firstLineChars="200"/>
        <w:textAlignment w:val="auto"/>
        <w:rPr>
          <w:rFonts w:hint="eastAsia" w:ascii="仿宋" w:hAnsi="仿宋" w:eastAsia="仿宋"/>
          <w:spacing w:val="-2"/>
          <w:sz w:val="32"/>
        </w:rPr>
      </w:pPr>
      <w:r>
        <w:rPr>
          <w:rFonts w:ascii="仿宋" w:hAnsi="仿宋" w:eastAsia="仿宋"/>
          <w:spacing w:val="-2"/>
          <w:sz w:val="32"/>
        </w:rPr>
        <w:t>5.按照区域卫生规划、布局及卫生行政主管部门的要求，承担本盟范围内精神卫生宣教、指导工作。</w:t>
      </w:r>
    </w:p>
    <w:p>
      <w:pPr>
        <w:keepNext w:val="0"/>
        <w:keepLines w:val="0"/>
        <w:pageBreakBefore w:val="0"/>
        <w:widowControl w:val="0"/>
        <w:tabs>
          <w:tab w:val="left" w:pos="1083"/>
        </w:tabs>
        <w:kinsoku/>
        <w:wordWrap/>
        <w:overflowPunct/>
        <w:topLinePunct w:val="0"/>
        <w:autoSpaceDE/>
        <w:autoSpaceDN/>
        <w:bidi w:val="0"/>
        <w:adjustRightInd/>
        <w:snapToGrid/>
        <w:spacing w:line="640" w:lineRule="exact"/>
        <w:ind w:right="0" w:firstLine="632" w:firstLineChars="200"/>
        <w:textAlignment w:val="auto"/>
        <w:rPr>
          <w:rFonts w:hint="eastAsia"/>
        </w:rPr>
      </w:pPr>
      <w:r>
        <w:rPr>
          <w:rFonts w:ascii="仿宋" w:hAnsi="仿宋" w:eastAsia="仿宋"/>
          <w:spacing w:val="-2"/>
          <w:sz w:val="32"/>
        </w:rPr>
        <w:t>6</w:t>
      </w:r>
      <w:r>
        <w:rPr>
          <w:rFonts w:hint="eastAsia" w:ascii="仿宋" w:hAnsi="仿宋" w:eastAsia="仿宋"/>
          <w:spacing w:val="-2"/>
          <w:sz w:val="32"/>
        </w:rPr>
        <w:t>.利用现有的卫生资源，开展综合门诊，为群众提供心理咨询、心理治疗及常见病、多发病防治服务。</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二、部门（单位）机构设置及预算单位构成情况</w:t>
      </w:r>
    </w:p>
    <w:p>
      <w:pPr>
        <w:pageBreakBefore w:val="0"/>
        <w:kinsoku/>
        <w:wordWrap/>
        <w:overflowPunct/>
        <w:topLinePunct w:val="0"/>
        <w:bidi w:val="0"/>
        <w:spacing w:line="600" w:lineRule="exact"/>
        <w:ind w:firstLine="640" w:firstLineChars="200"/>
        <w:rPr>
          <w:rFonts w:hint="eastAsia" w:eastAsia="仿宋_GB2312" w:cstheme="minorBidi"/>
          <w:sz w:val="32"/>
          <w:szCs w:val="32"/>
        </w:rPr>
      </w:pPr>
      <w:r>
        <w:rPr>
          <w:rFonts w:hint="eastAsia" w:eastAsia="仿宋_GB2312" w:cstheme="minorBidi"/>
          <w:sz w:val="32"/>
          <w:szCs w:val="32"/>
        </w:rPr>
        <w:t>1．根据部门（单位）职责分工，本部门（单位）</w:t>
      </w:r>
      <w:r>
        <w:rPr>
          <w:rFonts w:hint="eastAsia" w:eastAsia="仿宋_GB2312" w:cstheme="minorBidi"/>
          <w:sz w:val="32"/>
          <w:szCs w:val="32"/>
          <w:lang w:val="en-US" w:eastAsia="zh-CN"/>
        </w:rPr>
        <w:t>无下属单位</w:t>
      </w:r>
      <w:r>
        <w:rPr>
          <w:rFonts w:hint="eastAsia" w:eastAsia="仿宋_GB2312" w:cstheme="minorBidi"/>
          <w:sz w:val="32"/>
          <w:szCs w:val="32"/>
        </w:rPr>
        <w:t>。</w:t>
      </w:r>
    </w:p>
    <w:p>
      <w:pPr>
        <w:pageBreakBefore w:val="0"/>
        <w:kinsoku/>
        <w:wordWrap/>
        <w:overflowPunct/>
        <w:topLinePunct w:val="0"/>
        <w:bidi w:val="0"/>
        <w:spacing w:line="600" w:lineRule="exact"/>
        <w:ind w:firstLine="640" w:firstLineChars="200"/>
        <w:rPr>
          <w:rFonts w:eastAsia="仿宋_GB2312" w:cstheme="minorBidi"/>
          <w:sz w:val="32"/>
          <w:szCs w:val="32"/>
        </w:rPr>
      </w:pPr>
      <w:r>
        <w:rPr>
          <w:rFonts w:hint="eastAsia" w:eastAsia="仿宋_GB2312" w:cstheme="minorBidi"/>
          <w:sz w:val="32"/>
          <w:szCs w:val="32"/>
        </w:rPr>
        <w:t>2．从预算单位构成看，纳入本部门（单位）</w:t>
      </w:r>
      <w:r>
        <w:rPr>
          <w:rFonts w:hint="eastAsia" w:eastAsia="仿宋_GB2312" w:cstheme="minorBidi"/>
          <w:sz w:val="32"/>
          <w:szCs w:val="32"/>
          <w:lang w:val="en-US" w:eastAsia="zh-CN"/>
        </w:rPr>
        <w:t>2025</w:t>
      </w:r>
      <w:r>
        <w:rPr>
          <w:rFonts w:hint="eastAsia" w:eastAsia="仿宋_GB2312" w:cstheme="minorBidi"/>
          <w:sz w:val="32"/>
          <w:szCs w:val="32"/>
        </w:rPr>
        <w:t>年部门汇总预算编制范围的预算单位共计</w:t>
      </w:r>
      <w:r>
        <w:rPr>
          <w:rFonts w:hint="eastAsia" w:eastAsia="仿宋_GB2312" w:cstheme="minorBidi"/>
          <w:sz w:val="32"/>
          <w:szCs w:val="32"/>
          <w:lang w:val="en-US" w:eastAsia="zh-CN"/>
        </w:rPr>
        <w:t>1</w:t>
      </w:r>
      <w:r>
        <w:rPr>
          <w:rFonts w:hint="eastAsia" w:eastAsia="仿宋_GB2312" w:cstheme="minorBidi"/>
          <w:sz w:val="32"/>
          <w:szCs w:val="32"/>
        </w:rPr>
        <w:t>家，具体包括：</w:t>
      </w:r>
      <w:r>
        <w:rPr>
          <w:rFonts w:hint="eastAsia" w:ascii="Times New Roman" w:hAnsi="Times New Roman" w:eastAsia="仿宋_GB2312" w:cstheme="minorBidi"/>
          <w:sz w:val="32"/>
          <w:szCs w:val="32"/>
          <w:lang w:val="en-US" w:eastAsia="zh-CN"/>
        </w:rPr>
        <w:t>锡林郭勒盟安神医院</w:t>
      </w:r>
      <w:r>
        <w:rPr>
          <w:rFonts w:hint="eastAsia" w:eastAsia="仿宋_GB2312" w:cstheme="minorBidi"/>
          <w:sz w:val="32"/>
          <w:szCs w:val="32"/>
        </w:rPr>
        <w:t>。</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21"/>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lang w:val="en-US" w:eastAsia="zh-CN"/>
              </w:rPr>
              <w:t>锡林郭勒盟安神医院</w:t>
            </w: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kern w:val="0"/>
                <w:sz w:val="30"/>
                <w:szCs w:val="30"/>
              </w:rPr>
              <w:t>公益一类事业单位</w:t>
            </w:r>
          </w:p>
        </w:tc>
      </w:tr>
    </w:tbl>
    <w:p>
      <w:pPr>
        <w:pageBreakBefore w:val="0"/>
        <w:kinsoku/>
        <w:wordWrap/>
        <w:overflowPunct/>
        <w:topLinePunct w:val="0"/>
        <w:bidi w:val="0"/>
        <w:spacing w:line="600" w:lineRule="exact"/>
        <w:rPr>
          <w:rFonts w:eastAsia="仿宋_GB2312" w:cstheme="minorBidi"/>
          <w:sz w:val="32"/>
          <w:szCs w:val="32"/>
        </w:rPr>
      </w:pPr>
    </w:p>
    <w:p>
      <w:pPr>
        <w:pageBreakBefore w:val="0"/>
        <w:kinsoku/>
        <w:wordWrap/>
        <w:overflowPunct/>
        <w:topLinePunct w:val="0"/>
        <w:bidi w:val="0"/>
        <w:spacing w:line="600" w:lineRule="exact"/>
        <w:ind w:firstLine="640" w:firstLineChars="200"/>
        <w:rPr>
          <w:rFonts w:ascii="方正小标宋简体" w:hAnsi="方正小标宋简体" w:eastAsia="方正小标宋简体" w:cs="方正小标宋简体"/>
          <w:b w:val="0"/>
          <w:bCs w:val="0"/>
          <w:sz w:val="36"/>
          <w:szCs w:val="36"/>
        </w:rPr>
      </w:pPr>
      <w:r>
        <w:rPr>
          <w:rFonts w:hint="eastAsia" w:eastAsia="黑体" w:cs="黑体"/>
          <w:b w:val="0"/>
          <w:bCs w:val="0"/>
          <w:sz w:val="32"/>
          <w:szCs w:val="36"/>
        </w:rPr>
        <w:t>三、</w:t>
      </w:r>
      <w:r>
        <w:rPr>
          <w:rFonts w:hint="eastAsia" w:eastAsia="黑体" w:cs="黑体"/>
          <w:b w:val="0"/>
          <w:bCs w:val="0"/>
          <w:sz w:val="32"/>
          <w:szCs w:val="36"/>
          <w:lang w:val="en-US" w:eastAsia="zh-CN"/>
        </w:rPr>
        <w:t>2025</w:t>
      </w:r>
      <w:r>
        <w:rPr>
          <w:rFonts w:hint="eastAsia" w:eastAsia="黑体" w:cs="黑体"/>
          <w:b w:val="0"/>
          <w:bCs w:val="0"/>
          <w:sz w:val="32"/>
          <w:szCs w:val="36"/>
        </w:rPr>
        <w:t>年部门（单位）主要工作任务及目标</w:t>
      </w:r>
    </w:p>
    <w:p>
      <w:pPr>
        <w:pStyle w:val="42"/>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baseline"/>
        <w:rPr>
          <w:rFonts w:hint="default" w:ascii="楷体" w:hAnsi="楷体" w:eastAsia="楷体" w:cs="仿宋"/>
          <w:b w:val="0"/>
          <w:bCs w:val="0"/>
          <w:color w:val="auto"/>
          <w:kern w:val="0"/>
          <w:sz w:val="32"/>
          <w:szCs w:val="32"/>
          <w:lang w:val="en-US" w:eastAsia="zh-CN" w:bidi="ar-SA"/>
        </w:rPr>
      </w:pPr>
      <w:r>
        <w:rPr>
          <w:rFonts w:hint="eastAsia" w:ascii="楷体" w:hAnsi="楷体" w:eastAsia="楷体" w:cs="仿宋"/>
          <w:b w:val="0"/>
          <w:bCs w:val="0"/>
          <w:color w:val="auto"/>
          <w:kern w:val="0"/>
          <w:sz w:val="32"/>
          <w:szCs w:val="32"/>
          <w:lang w:val="en-US" w:eastAsia="zh-CN" w:bidi="ar-SA"/>
        </w:rPr>
        <w:t>（一）</w:t>
      </w:r>
      <w:r>
        <w:rPr>
          <w:rFonts w:hint="default" w:ascii="楷体" w:hAnsi="楷体" w:eastAsia="楷体" w:cs="仿宋"/>
          <w:b w:val="0"/>
          <w:bCs w:val="0"/>
          <w:color w:val="auto"/>
          <w:kern w:val="0"/>
          <w:sz w:val="32"/>
          <w:szCs w:val="32"/>
          <w:lang w:val="en-US" w:eastAsia="zh-CN" w:bidi="ar-SA"/>
        </w:rPr>
        <w:t>党建引领，迈高质量发展步伐</w:t>
      </w:r>
    </w:p>
    <w:p>
      <w:pPr>
        <w:keepNext w:val="0"/>
        <w:keepLines w:val="0"/>
        <w:pageBreakBefore w:val="0"/>
        <w:widowControl/>
        <w:suppressLineNumbers w:val="0"/>
        <w:wordWrap/>
        <w:overflowPunct/>
        <w:topLinePunct w:val="0"/>
        <w:bidi w:val="0"/>
        <w:spacing w:line="540" w:lineRule="exact"/>
        <w:ind w:left="0" w:leftChars="0" w:firstLine="643" w:firstLineChars="200"/>
        <w:jc w:val="left"/>
        <w:rPr>
          <w:rFonts w:hint="eastAsia" w:ascii="仿宋" w:hAnsi="仿宋" w:eastAsia="仿宋" w:cs="仿宋"/>
          <w:color w:val="080F17"/>
          <w:kern w:val="2"/>
          <w:sz w:val="32"/>
          <w:szCs w:val="32"/>
          <w:lang w:val="en-US" w:eastAsia="zh-CN" w:bidi="ar-SA"/>
        </w:rPr>
      </w:pPr>
      <w:r>
        <w:rPr>
          <w:rFonts w:hint="eastAsia" w:ascii="仿宋" w:hAnsi="仿宋" w:eastAsia="仿宋" w:cs="仿宋"/>
          <w:b/>
          <w:bCs/>
          <w:color w:val="080F17"/>
          <w:kern w:val="2"/>
          <w:sz w:val="32"/>
          <w:szCs w:val="32"/>
          <w:lang w:val="en-US" w:eastAsia="zh-CN" w:bidi="ar-SA"/>
        </w:rPr>
        <w:t>一是</w:t>
      </w:r>
      <w:r>
        <w:rPr>
          <w:rFonts w:hint="eastAsia" w:ascii="仿宋" w:hAnsi="仿宋" w:eastAsia="仿宋" w:cs="仿宋"/>
          <w:color w:val="080F17"/>
          <w:kern w:val="2"/>
          <w:sz w:val="32"/>
          <w:szCs w:val="32"/>
          <w:lang w:val="en-US" w:eastAsia="zh-CN" w:bidi="ar-SA"/>
        </w:rPr>
        <w:t>坚持党建引领，继续践行“以人为本，为民服务”的民政情怀，持续发挥绩效考核“风向标”和“指挥棒”的作用，成立绩效考核领导小组和工作专班，定期召开专题研讨会，强化考核导向，分解填报任务，实时监测数据，严抓考核数据质量，全方位挖掘潜力，优化就诊流程，促使医院医疗质量、运行效率全面提升，实现“国考”晋位升级。</w:t>
      </w:r>
    </w:p>
    <w:p>
      <w:pPr>
        <w:keepNext w:val="0"/>
        <w:keepLines w:val="0"/>
        <w:pageBreakBefore w:val="0"/>
        <w:widowControl/>
        <w:suppressLineNumbers w:val="0"/>
        <w:wordWrap/>
        <w:overflowPunct/>
        <w:topLinePunct w:val="0"/>
        <w:bidi w:val="0"/>
        <w:spacing w:line="540" w:lineRule="exact"/>
        <w:ind w:left="0" w:leftChars="0" w:firstLine="643" w:firstLineChars="200"/>
        <w:jc w:val="left"/>
        <w:rPr>
          <w:rFonts w:hint="eastAsia" w:ascii="仿宋" w:hAnsi="仿宋" w:eastAsia="仿宋" w:cs="仿宋"/>
          <w:color w:val="080F17"/>
          <w:kern w:val="2"/>
          <w:sz w:val="32"/>
          <w:szCs w:val="32"/>
          <w:lang w:val="en-US" w:eastAsia="zh-CN" w:bidi="ar-SA"/>
        </w:rPr>
      </w:pPr>
      <w:r>
        <w:rPr>
          <w:rFonts w:hint="eastAsia" w:ascii="仿宋" w:hAnsi="仿宋" w:eastAsia="仿宋" w:cs="仿宋"/>
          <w:b/>
          <w:bCs/>
          <w:color w:val="080F17"/>
          <w:kern w:val="2"/>
          <w:sz w:val="32"/>
          <w:szCs w:val="32"/>
          <w:lang w:val="en-US" w:eastAsia="zh-CN" w:bidi="ar-SA"/>
        </w:rPr>
        <w:t>二是</w:t>
      </w:r>
      <w:r>
        <w:rPr>
          <w:rFonts w:hint="eastAsia" w:ascii="仿宋" w:hAnsi="仿宋" w:eastAsia="仿宋" w:cs="仿宋"/>
          <w:color w:val="080F17"/>
          <w:kern w:val="2"/>
          <w:sz w:val="32"/>
          <w:szCs w:val="32"/>
          <w:lang w:val="en-US" w:eastAsia="zh-CN" w:bidi="ar-SA"/>
        </w:rPr>
        <w:t>重点聚焦公立医院党建、行业作风建设、运行管理，认真理解并落实好《内蒙古自治区卫生健康委关于印发大型医院工作实施方案（2024-2026年度）的通知》要求，坚持以问题为导向，“以巡促改、以巡促建、以巡促治”，切实开展自查自纠，建立整改台账，着力推动问题整改，加强医院党建、强化行业作风建设、规范医院运营管理，通过巡查工作促进医院建章立制，持续提升管理水平和服务水平，进一步推动医疗服务高质量发展。</w:t>
      </w:r>
    </w:p>
    <w:p>
      <w:pPr>
        <w:keepNext w:val="0"/>
        <w:keepLines w:val="0"/>
        <w:pageBreakBefore w:val="0"/>
        <w:widowControl/>
        <w:suppressLineNumbers w:val="0"/>
        <w:wordWrap/>
        <w:overflowPunct/>
        <w:topLinePunct w:val="0"/>
        <w:bidi w:val="0"/>
        <w:spacing w:line="540" w:lineRule="exact"/>
        <w:ind w:left="0" w:leftChars="0" w:firstLine="643" w:firstLineChars="200"/>
        <w:jc w:val="left"/>
        <w:rPr>
          <w:rFonts w:hint="eastAsia" w:ascii="仿宋" w:hAnsi="仿宋" w:eastAsia="仿宋" w:cs="仿宋"/>
          <w:color w:val="080F17"/>
          <w:kern w:val="2"/>
          <w:sz w:val="32"/>
          <w:szCs w:val="32"/>
          <w:lang w:val="en-US" w:eastAsia="zh-CN" w:bidi="ar-SA"/>
        </w:rPr>
      </w:pPr>
      <w:r>
        <w:rPr>
          <w:rFonts w:hint="eastAsia" w:ascii="仿宋" w:hAnsi="仿宋" w:eastAsia="仿宋" w:cs="仿宋"/>
          <w:b/>
          <w:bCs/>
          <w:color w:val="080F17"/>
          <w:kern w:val="2"/>
          <w:sz w:val="32"/>
          <w:szCs w:val="32"/>
          <w:lang w:val="en-US" w:eastAsia="zh-CN" w:bidi="ar-SA"/>
        </w:rPr>
        <w:t>三是</w:t>
      </w:r>
      <w:r>
        <w:rPr>
          <w:rFonts w:hint="eastAsia" w:ascii="仿宋" w:hAnsi="仿宋" w:eastAsia="仿宋" w:cs="仿宋"/>
          <w:color w:val="080F17"/>
          <w:kern w:val="2"/>
          <w:sz w:val="32"/>
          <w:szCs w:val="32"/>
          <w:lang w:val="en-US" w:eastAsia="zh-CN" w:bidi="ar-SA"/>
        </w:rPr>
        <w:t>全面总结医院“十四五”规划落实情况，编制院科两级“十五五”规划，明确医院和科室在未来五年的发展目标和方向，起好步、开好局。各科室要结合自身工作实际、战略目标，积极召开院科两级发展研讨会，明确“十五五”期间各科室学科发展方向，为医院在“十五五”期间跨越式发展打下坚实基础。</w:t>
      </w:r>
    </w:p>
    <w:p>
      <w:pPr>
        <w:keepNext w:val="0"/>
        <w:keepLines w:val="0"/>
        <w:pageBreakBefore w:val="0"/>
        <w:widowControl/>
        <w:suppressLineNumbers w:val="0"/>
        <w:wordWrap/>
        <w:overflowPunct/>
        <w:topLinePunct w:val="0"/>
        <w:bidi w:val="0"/>
        <w:spacing w:line="540" w:lineRule="exact"/>
        <w:ind w:left="0" w:leftChars="0" w:firstLine="643" w:firstLineChars="200"/>
        <w:jc w:val="left"/>
        <w:rPr>
          <w:rFonts w:hint="eastAsia" w:ascii="仿宋" w:hAnsi="仿宋" w:eastAsia="仿宋" w:cs="仿宋"/>
          <w:color w:val="080F17"/>
          <w:kern w:val="2"/>
          <w:sz w:val="32"/>
          <w:szCs w:val="32"/>
          <w:lang w:val="en-US" w:eastAsia="zh-CN" w:bidi="ar-SA"/>
        </w:rPr>
      </w:pPr>
      <w:r>
        <w:rPr>
          <w:rFonts w:hint="eastAsia" w:ascii="仿宋" w:hAnsi="仿宋" w:eastAsia="仿宋" w:cs="仿宋"/>
          <w:b/>
          <w:bCs/>
          <w:color w:val="080F17"/>
          <w:kern w:val="2"/>
          <w:sz w:val="32"/>
          <w:szCs w:val="32"/>
          <w:lang w:val="en-US" w:eastAsia="zh-CN" w:bidi="ar-SA"/>
        </w:rPr>
        <w:t>四是</w:t>
      </w:r>
      <w:r>
        <w:rPr>
          <w:rFonts w:hint="eastAsia" w:ascii="仿宋" w:hAnsi="仿宋" w:eastAsia="仿宋" w:cs="仿宋"/>
          <w:color w:val="080F17"/>
          <w:kern w:val="2"/>
          <w:sz w:val="32"/>
          <w:szCs w:val="32"/>
          <w:lang w:val="en-US" w:eastAsia="zh-CN" w:bidi="ar-SA"/>
        </w:rPr>
        <w:t>落实总会计师制度，完善运营管理体系，重点围绕成本、运营、内控、绩效等薄弱环节，健全管理制度，强化业务活动、经济行为、专项债券资金使用的内部控制和监管措施，以严防廉政风险、控制法律风险、落实政策功能、提升相关科室履职效能、强化运行监管为着力点,通过分级授权、明晰事权、内部监察、建立台账、责任追溯等多种措施，加强内部控制管理体系建设，形成切实可行、程序完备的政府采购内部控制管理制度体系，提升运营效益。</w:t>
      </w:r>
    </w:p>
    <w:p>
      <w:pPr>
        <w:keepNext w:val="0"/>
        <w:keepLines w:val="0"/>
        <w:pageBreakBefore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eastAsia" w:ascii="楷体" w:hAnsi="楷体" w:eastAsia="楷体" w:cs="仿宋"/>
          <w:b w:val="0"/>
          <w:bCs w:val="0"/>
          <w:color w:val="auto"/>
          <w:kern w:val="0"/>
          <w:sz w:val="32"/>
          <w:szCs w:val="32"/>
          <w:lang w:val="en-US" w:eastAsia="zh-CN" w:bidi="ar-SA"/>
        </w:rPr>
      </w:pPr>
      <w:r>
        <w:rPr>
          <w:rFonts w:hint="default" w:ascii="楷体" w:hAnsi="楷体" w:eastAsia="楷体" w:cs="仿宋"/>
          <w:b w:val="0"/>
          <w:bCs w:val="0"/>
          <w:color w:val="auto"/>
          <w:kern w:val="0"/>
          <w:sz w:val="32"/>
          <w:szCs w:val="32"/>
          <w:lang w:val="en-US" w:eastAsia="zh-CN" w:bidi="ar-SA"/>
        </w:rPr>
        <w:t>（二）强基固本，筑临床服务之基石</w:t>
      </w:r>
    </w:p>
    <w:p>
      <w:pPr>
        <w:pStyle w:val="12"/>
        <w:keepNext w:val="0"/>
        <w:keepLines w:val="0"/>
        <w:pageBreakBefore w:val="0"/>
        <w:wordWrap/>
        <w:overflowPunct/>
        <w:topLinePunct w:val="0"/>
        <w:bidi w:val="0"/>
        <w:spacing w:after="0" w:afterLines="0" w:line="540" w:lineRule="exact"/>
        <w:ind w:left="0" w:leftChars="0"/>
        <w:rPr>
          <w:rFonts w:hint="eastAsia" w:ascii="仿宋" w:hAnsi="仿宋" w:eastAsia="仿宋" w:cs="仿宋"/>
          <w:color w:val="080F17"/>
          <w:kern w:val="2"/>
          <w:sz w:val="32"/>
          <w:szCs w:val="32"/>
          <w:lang w:val="en-US" w:eastAsia="zh-CN" w:bidi="ar-SA"/>
        </w:rPr>
      </w:pPr>
      <w:r>
        <w:rPr>
          <w:rFonts w:hint="eastAsia" w:ascii="仿宋" w:hAnsi="仿宋" w:eastAsia="仿宋" w:cs="仿宋"/>
          <w:b/>
          <w:bCs/>
          <w:color w:val="080F17"/>
          <w:kern w:val="2"/>
          <w:sz w:val="32"/>
          <w:szCs w:val="32"/>
          <w:lang w:val="en-US" w:eastAsia="zh-CN" w:bidi="ar-SA"/>
        </w:rPr>
        <w:t>一是切实抓好“三基”知识培训考核工作。</w:t>
      </w:r>
      <w:r>
        <w:rPr>
          <w:rFonts w:hint="eastAsia" w:ascii="仿宋" w:hAnsi="仿宋" w:eastAsia="仿宋" w:cs="仿宋"/>
          <w:color w:val="080F17"/>
          <w:kern w:val="2"/>
          <w:sz w:val="32"/>
          <w:szCs w:val="32"/>
          <w:lang w:val="en-US" w:eastAsia="zh-CN" w:bidi="ar-SA"/>
        </w:rPr>
        <w:t>注重打牢基础，加强医务人员基础知识、基本理论、基本技能训练，夯实基本功底，将与疾病诊断、治疗有关的医学基础理论，为疾病诊断、治疗直接提供科学依据的医疗知识，医护人员应具备的诊断、治疗的基本操作技能和能根据掌握的理论知识和实践经验，结合病人病情拟定出诊断治疗计划等的思维判断能力等纳入“三基”培训范围；拓宽知识面，将卫生管理法律、行政法规和部门规章及诊疗护理技术操作规范有机融入“三基”培训中，提高医务人员的法律知识和自律意识，做到依法执业；注重强化能力培养，增加深度，积极引导和鼓励医务人员学习新技术、开展新业务，努力培养行家里手，形成赶、学、比、超良好氛围。</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40" w:lineRule="exact"/>
        <w:ind w:left="0" w:leftChars="0" w:firstLine="643" w:firstLineChars="200"/>
        <w:jc w:val="left"/>
        <w:textAlignment w:val="baseline"/>
        <w:rPr>
          <w:rFonts w:hint="eastAsia" w:ascii="仿宋" w:hAnsi="仿宋" w:eastAsia="仿宋" w:cs="仿宋"/>
          <w:color w:val="080F17"/>
          <w:kern w:val="2"/>
          <w:sz w:val="32"/>
          <w:szCs w:val="32"/>
          <w:lang w:val="en-US" w:eastAsia="zh-CN" w:bidi="ar-SA"/>
        </w:rPr>
      </w:pPr>
      <w:r>
        <w:rPr>
          <w:rFonts w:hint="eastAsia" w:ascii="仿宋" w:hAnsi="仿宋" w:eastAsia="仿宋" w:cs="仿宋"/>
          <w:b/>
          <w:bCs/>
          <w:color w:val="080F17"/>
          <w:kern w:val="2"/>
          <w:sz w:val="32"/>
          <w:szCs w:val="32"/>
          <w:lang w:val="en-US" w:eastAsia="zh-CN" w:bidi="ar-SA"/>
        </w:rPr>
        <w:t>二是落实《锡林郭勒盟安神医院全面提升医疗质量行动2023-2025工作方案》。</w:t>
      </w:r>
      <w:r>
        <w:rPr>
          <w:rFonts w:hint="eastAsia" w:ascii="仿宋" w:hAnsi="仿宋" w:eastAsia="仿宋" w:cs="仿宋"/>
          <w:color w:val="080F17"/>
          <w:kern w:val="2"/>
          <w:sz w:val="32"/>
          <w:szCs w:val="32"/>
          <w:lang w:val="en-US" w:eastAsia="zh-CN" w:bidi="ar-SA"/>
        </w:rPr>
        <w:t>加强基础质量安全管理，夯实结构质量。围绕医疗质量安全管理组织体系、制度体系、工作机制以及医务人员、药品器械、医疗技术等核心要素进行完善落实，并着力加强门诊患者随访等薄弱环节的质量安全管理；强化关键环节和行为管理，提高过程质量。围绕日常诊疗行为、患者评估、三级查房、合理用药、检查检验、病历质量、会诊行为、急难危重患者救治、患者安全管理、护理服务等10个方面进行部署，提升全诊疗流程的质量安全；织密质量管理网络，完善工作机制。进一步健全质控体系和工作机制、加强质量安全信息公开，在工作中强化目标导向、充分发挥考核评估的指挥棒作用。</w:t>
      </w:r>
    </w:p>
    <w:p>
      <w:pPr>
        <w:pStyle w:val="12"/>
        <w:keepNext w:val="0"/>
        <w:keepLines w:val="0"/>
        <w:pageBreakBefore w:val="0"/>
        <w:wordWrap/>
        <w:overflowPunct/>
        <w:topLinePunct w:val="0"/>
        <w:bidi w:val="0"/>
        <w:spacing w:after="0" w:afterLines="0" w:line="540" w:lineRule="exact"/>
        <w:ind w:left="0" w:leftChars="0"/>
        <w:rPr>
          <w:rFonts w:hint="eastAsia" w:ascii="仿宋" w:hAnsi="仿宋" w:eastAsia="仿宋" w:cs="仿宋"/>
          <w:color w:val="080F17"/>
          <w:kern w:val="2"/>
          <w:sz w:val="32"/>
          <w:szCs w:val="32"/>
          <w:lang w:val="en-US" w:eastAsia="zh-CN" w:bidi="ar-SA"/>
        </w:rPr>
      </w:pPr>
      <w:r>
        <w:rPr>
          <w:rFonts w:hint="eastAsia" w:ascii="仿宋" w:hAnsi="仿宋" w:eastAsia="仿宋" w:cs="仿宋"/>
          <w:b/>
          <w:bCs/>
          <w:color w:val="080F17"/>
          <w:kern w:val="2"/>
          <w:sz w:val="32"/>
          <w:szCs w:val="32"/>
          <w:lang w:val="en-US" w:eastAsia="zh-CN" w:bidi="ar-SA"/>
        </w:rPr>
        <w:t>三是持续推进信息化建设。</w:t>
      </w:r>
      <w:r>
        <w:rPr>
          <w:rFonts w:hint="eastAsia" w:ascii="仿宋" w:hAnsi="仿宋" w:eastAsia="仿宋" w:cs="仿宋"/>
          <w:color w:val="080F17"/>
          <w:kern w:val="2"/>
          <w:sz w:val="32"/>
          <w:szCs w:val="32"/>
          <w:lang w:val="en-US" w:eastAsia="zh-CN" w:bidi="ar-SA"/>
        </w:rPr>
        <w:t>全面升级心生电信息系统、检验信息系统、影像信息系统，实现各系统间数据共享和互联互通，实现患者检查数据线上查看，云胶片在线预览的诊疗服务新模式。完善前置审方系统，购置HERP系统，整合医院的财务管理、人力资源、临床服务、供应链管理等多个模块，实现信息一体化。构建医院电子签章系统，满足医护人员在不同记录上的签名需求。</w:t>
      </w:r>
    </w:p>
    <w:p>
      <w:pPr>
        <w:pStyle w:val="12"/>
        <w:keepNext w:val="0"/>
        <w:keepLines w:val="0"/>
        <w:pageBreakBefore w:val="0"/>
        <w:wordWrap/>
        <w:overflowPunct/>
        <w:topLinePunct w:val="0"/>
        <w:bidi w:val="0"/>
        <w:spacing w:after="0" w:afterLines="0" w:line="540" w:lineRule="exact"/>
        <w:ind w:left="0" w:leftChars="0"/>
        <w:rPr>
          <w:rFonts w:hint="eastAsia" w:ascii="仿宋" w:hAnsi="仿宋" w:eastAsia="仿宋" w:cs="仿宋"/>
          <w:color w:val="080F17"/>
          <w:kern w:val="2"/>
          <w:sz w:val="32"/>
          <w:szCs w:val="32"/>
          <w:lang w:val="en-US" w:eastAsia="zh-CN" w:bidi="ar-SA"/>
        </w:rPr>
      </w:pPr>
      <w:r>
        <w:rPr>
          <w:rFonts w:hint="eastAsia" w:ascii="仿宋" w:hAnsi="仿宋" w:eastAsia="仿宋" w:cs="仿宋"/>
          <w:b/>
          <w:bCs/>
          <w:color w:val="080F17"/>
          <w:kern w:val="2"/>
          <w:sz w:val="32"/>
          <w:szCs w:val="32"/>
          <w:lang w:val="en-US" w:eastAsia="zh-CN" w:bidi="ar-SA"/>
        </w:rPr>
        <w:t>四是贯彻落实《医学人文关怀提升行动方案（2024—2027年）》。</w:t>
      </w:r>
      <w:r>
        <w:rPr>
          <w:rFonts w:hint="eastAsia" w:ascii="仿宋" w:hAnsi="仿宋" w:eastAsia="仿宋" w:cs="仿宋"/>
          <w:color w:val="080F17"/>
          <w:kern w:val="2"/>
          <w:sz w:val="32"/>
          <w:szCs w:val="32"/>
          <w:lang w:val="en-US" w:eastAsia="zh-CN" w:bidi="ar-SA"/>
        </w:rPr>
        <w:t>深入开展医院人文关怀建设行动，强化组织建设，坚持文化引领，开展人文培训，优化服务方式，既要重视服务效率，更要重视服务效果和群众感受，将人文关怀融入患者诊治全流程。增进医患沟通，营造人文关怀就医环境，引进社工和志愿者服务。传承优良传统，选树培育典型，以中医药文化涵养医德医风，打造医学人文宣传平台。</w:t>
      </w:r>
    </w:p>
    <w:p>
      <w:pPr>
        <w:pStyle w:val="42"/>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baseline"/>
        <w:rPr>
          <w:rFonts w:hint="eastAsia" w:ascii="楷体" w:hAnsi="楷体" w:eastAsia="楷体" w:cs="仿宋"/>
          <w:b w:val="0"/>
          <w:bCs w:val="0"/>
          <w:color w:val="auto"/>
          <w:kern w:val="0"/>
          <w:sz w:val="32"/>
          <w:szCs w:val="32"/>
          <w:lang w:val="en-US" w:eastAsia="zh-CN" w:bidi="ar-SA"/>
        </w:rPr>
      </w:pPr>
      <w:r>
        <w:rPr>
          <w:rFonts w:hint="default" w:ascii="楷体" w:hAnsi="楷体" w:eastAsia="楷体" w:cs="仿宋"/>
          <w:b w:val="0"/>
          <w:bCs w:val="0"/>
          <w:color w:val="auto"/>
          <w:kern w:val="0"/>
          <w:sz w:val="32"/>
          <w:szCs w:val="32"/>
          <w:lang w:val="en-US" w:eastAsia="zh-CN" w:bidi="ar-SA"/>
        </w:rPr>
        <w:t>（三）厚植人才，育教学工作之硕果</w:t>
      </w:r>
    </w:p>
    <w:p>
      <w:pPr>
        <w:keepNext w:val="0"/>
        <w:keepLines w:val="0"/>
        <w:pageBreakBefore w:val="0"/>
        <w:widowControl/>
        <w:suppressLineNumbers w:val="0"/>
        <w:wordWrap/>
        <w:overflowPunct/>
        <w:topLinePunct w:val="0"/>
        <w:bidi w:val="0"/>
        <w:spacing w:line="540" w:lineRule="exact"/>
        <w:ind w:left="0" w:leftChars="0" w:firstLine="640" w:firstLineChars="200"/>
        <w:jc w:val="left"/>
        <w:rPr>
          <w:rFonts w:hint="eastAsia" w:ascii="仿宋" w:hAnsi="仿宋" w:eastAsia="仿宋" w:cs="仿宋"/>
          <w:color w:val="080F17"/>
          <w:kern w:val="2"/>
          <w:sz w:val="32"/>
          <w:szCs w:val="32"/>
          <w:lang w:val="en-US" w:eastAsia="zh-CN" w:bidi="ar-SA"/>
        </w:rPr>
      </w:pPr>
      <w:r>
        <w:rPr>
          <w:rFonts w:hint="eastAsia" w:ascii="仿宋" w:hAnsi="仿宋" w:eastAsia="仿宋" w:cs="仿宋"/>
          <w:color w:val="080F17"/>
          <w:kern w:val="2"/>
          <w:sz w:val="32"/>
          <w:szCs w:val="32"/>
          <w:lang w:val="en-US" w:eastAsia="zh-CN" w:bidi="ar-SA"/>
        </w:rPr>
        <w:t>坚持“以医学生成长为中心”“以青年医生成才为中心”，既要有组织的引才，充分发挥人才作用，也要进一步完善人才保障制度、考核机制，在临床、科研、教学上差异化培养，充分发挥人才的优势，形成高、中、初三级人才梯队。同时，通过与高校等建立长期合作关系，开展定向培养和人才引进计划，2025年拟通过引进方式增加高级职称临床医师3名。发挥医联体作用，通过专家讲座、临床带教、疑难病例讨论等方式加强医院人才培养。深化绩效激励政策的激励作用和公平性，绩效激励导向仍然向临床一线、培养难的医护岗位倾斜。</w:t>
      </w:r>
    </w:p>
    <w:p>
      <w:pPr>
        <w:keepNext w:val="0"/>
        <w:keepLines w:val="0"/>
        <w:pageBreakBefore w:val="0"/>
        <w:widowControl/>
        <w:suppressLineNumbers w:val="0"/>
        <w:wordWrap/>
        <w:overflowPunct/>
        <w:topLinePunct w:val="0"/>
        <w:bidi w:val="0"/>
        <w:spacing w:line="540" w:lineRule="exact"/>
        <w:ind w:left="0" w:leftChars="0" w:firstLine="640" w:firstLineChars="200"/>
        <w:jc w:val="left"/>
        <w:rPr>
          <w:rFonts w:hint="eastAsia" w:ascii="仿宋" w:hAnsi="仿宋" w:eastAsia="仿宋" w:cs="仿宋"/>
          <w:color w:val="080F17"/>
          <w:kern w:val="2"/>
          <w:sz w:val="32"/>
          <w:szCs w:val="32"/>
          <w:lang w:val="en-US" w:eastAsia="zh-CN" w:bidi="ar-SA"/>
        </w:rPr>
      </w:pPr>
      <w:r>
        <w:rPr>
          <w:rFonts w:hint="eastAsia" w:ascii="仿宋" w:hAnsi="仿宋" w:eastAsia="仿宋" w:cs="仿宋"/>
          <w:color w:val="080F17"/>
          <w:kern w:val="2"/>
          <w:sz w:val="32"/>
          <w:szCs w:val="32"/>
          <w:lang w:val="en-US" w:eastAsia="zh-CN" w:bidi="ar-SA"/>
        </w:rPr>
        <w:t>加强与医学院校合作交流，全面强化医院教学管理效能，建立有效的教学质量控制体系，制定完善教学管理制度及考核奖惩机制，做到每个层面、每个环节都有要求、有标准、有检查、有总结,临床教学工作开展有章可循,有据可依。完善临床带教教师培训制度，定期或不定期组织教师教学理论学习或选送骨干教师外出学习，掌握教学新理论与新方法，开展医学与教学研究，提高教学水平，达到教学相长、教研相长的目的。</w:t>
      </w:r>
    </w:p>
    <w:p>
      <w:pPr>
        <w:keepNext w:val="0"/>
        <w:keepLines w:val="0"/>
        <w:pageBreakBefore w:val="0"/>
        <w:widowControl/>
        <w:suppressLineNumbers w:val="0"/>
        <w:wordWrap/>
        <w:overflowPunct/>
        <w:topLinePunct w:val="0"/>
        <w:bidi w:val="0"/>
        <w:spacing w:line="540" w:lineRule="exact"/>
        <w:ind w:firstLine="640" w:firstLineChars="200"/>
        <w:jc w:val="left"/>
        <w:rPr>
          <w:rFonts w:hint="eastAsia" w:ascii="楷体" w:hAnsi="楷体" w:eastAsia="楷体" w:cs="仿宋"/>
          <w:b w:val="0"/>
          <w:bCs w:val="0"/>
          <w:color w:val="auto"/>
          <w:kern w:val="0"/>
          <w:sz w:val="32"/>
          <w:szCs w:val="32"/>
          <w:lang w:val="en-US" w:eastAsia="zh-CN" w:bidi="ar-SA"/>
        </w:rPr>
      </w:pPr>
      <w:r>
        <w:rPr>
          <w:rFonts w:hint="eastAsia" w:ascii="楷体" w:hAnsi="楷体" w:eastAsia="楷体" w:cs="仿宋"/>
          <w:b w:val="0"/>
          <w:bCs w:val="0"/>
          <w:color w:val="auto"/>
          <w:kern w:val="0"/>
          <w:sz w:val="32"/>
          <w:szCs w:val="32"/>
          <w:lang w:val="en-US" w:eastAsia="zh-CN" w:bidi="ar-SA"/>
        </w:rPr>
        <w:t>（四）整合资源，助学科建设之提升</w:t>
      </w:r>
    </w:p>
    <w:p>
      <w:pPr>
        <w:keepNext w:val="0"/>
        <w:keepLines w:val="0"/>
        <w:pageBreakBefore w:val="0"/>
        <w:widowControl/>
        <w:suppressLineNumbers w:val="0"/>
        <w:shd w:val="clear" w:fill="FFFFFF"/>
        <w:wordWrap/>
        <w:overflowPunct/>
        <w:topLinePunct w:val="0"/>
        <w:bidi w:val="0"/>
        <w:spacing w:beforeAutospacing="0" w:line="540" w:lineRule="exact"/>
        <w:ind w:left="0" w:firstLine="643" w:firstLineChars="200"/>
        <w:jc w:val="left"/>
        <w:rPr>
          <w:rFonts w:hint="eastAsia" w:ascii="仿宋" w:hAnsi="仿宋" w:eastAsia="仿宋" w:cs="仿宋"/>
          <w:color w:val="080F17"/>
          <w:kern w:val="2"/>
          <w:sz w:val="32"/>
          <w:szCs w:val="32"/>
          <w:lang w:val="en-US" w:eastAsia="zh-CN" w:bidi="ar-SA"/>
        </w:rPr>
      </w:pPr>
      <w:r>
        <w:rPr>
          <w:rFonts w:hint="eastAsia" w:ascii="仿宋" w:hAnsi="仿宋" w:eastAsia="仿宋" w:cs="仿宋"/>
          <w:b/>
          <w:bCs/>
          <w:i w:val="0"/>
          <w:iCs w:val="0"/>
          <w:caps w:val="0"/>
          <w:color w:val="222222"/>
          <w:spacing w:val="0"/>
          <w:kern w:val="0"/>
          <w:sz w:val="32"/>
          <w:szCs w:val="32"/>
          <w:shd w:val="clear" w:fill="FFFFFF"/>
          <w:lang w:val="en-US" w:eastAsia="zh-CN" w:bidi="ar"/>
        </w:rPr>
        <w:t>一是</w:t>
      </w:r>
      <w:r>
        <w:rPr>
          <w:rFonts w:hint="eastAsia" w:ascii="仿宋" w:hAnsi="仿宋" w:eastAsia="仿宋" w:cs="仿宋"/>
          <w:i w:val="0"/>
          <w:iCs w:val="0"/>
          <w:caps w:val="0"/>
          <w:color w:val="222222"/>
          <w:spacing w:val="0"/>
          <w:kern w:val="0"/>
          <w:sz w:val="32"/>
          <w:szCs w:val="32"/>
          <w:shd w:val="clear" w:fill="FFFFFF"/>
          <w:lang w:val="en-US" w:eastAsia="zh-CN" w:bidi="ar"/>
        </w:rPr>
        <w:t>贯彻落实“全面推进公立医院临床重点专科建设三年攻坚行动”，以京蒙、津蒙支援合作为契机，</w:t>
      </w:r>
      <w:r>
        <w:rPr>
          <w:rFonts w:hint="eastAsia" w:ascii="仿宋" w:hAnsi="仿宋" w:eastAsia="仿宋" w:cs="仿宋"/>
          <w:i w:val="0"/>
          <w:iCs w:val="0"/>
          <w:caps w:val="0"/>
          <w:color w:val="333333"/>
          <w:spacing w:val="0"/>
          <w:sz w:val="32"/>
          <w:szCs w:val="32"/>
          <w:shd w:val="clear" w:fill="FFFFFF"/>
          <w:vertAlign w:val="baseline"/>
        </w:rPr>
        <w:t>围绕</w:t>
      </w:r>
      <w:r>
        <w:rPr>
          <w:rFonts w:hint="eastAsia" w:ascii="仿宋" w:hAnsi="仿宋" w:eastAsia="仿宋" w:cs="仿宋"/>
          <w:i w:val="0"/>
          <w:iCs w:val="0"/>
          <w:caps w:val="0"/>
          <w:color w:val="333333"/>
          <w:spacing w:val="0"/>
          <w:sz w:val="32"/>
          <w:szCs w:val="32"/>
          <w:shd w:val="clear" w:fill="FFFFFF"/>
          <w:vertAlign w:val="baseline"/>
          <w:lang w:eastAsia="zh-CN"/>
        </w:rPr>
        <w:t>医院现有</w:t>
      </w:r>
      <w:r>
        <w:rPr>
          <w:rFonts w:hint="eastAsia" w:ascii="仿宋" w:hAnsi="仿宋" w:eastAsia="仿宋" w:cs="仿宋"/>
          <w:i w:val="0"/>
          <w:iCs w:val="0"/>
          <w:caps w:val="0"/>
          <w:color w:val="333333"/>
          <w:spacing w:val="0"/>
          <w:sz w:val="32"/>
          <w:szCs w:val="32"/>
          <w:shd w:val="clear" w:fill="FFFFFF"/>
          <w:vertAlign w:val="baseline"/>
        </w:rPr>
        <w:t>病种和</w:t>
      </w:r>
      <w:r>
        <w:rPr>
          <w:rFonts w:hint="eastAsia" w:ascii="仿宋" w:hAnsi="仿宋" w:eastAsia="仿宋" w:cs="仿宋"/>
          <w:i w:val="0"/>
          <w:iCs w:val="0"/>
          <w:caps w:val="0"/>
          <w:color w:val="333333"/>
          <w:spacing w:val="0"/>
          <w:sz w:val="32"/>
          <w:szCs w:val="32"/>
          <w:shd w:val="clear" w:fill="FFFFFF"/>
          <w:vertAlign w:val="baseline"/>
          <w:lang w:eastAsia="zh-CN"/>
        </w:rPr>
        <w:t>科室</w:t>
      </w:r>
      <w:r>
        <w:rPr>
          <w:rFonts w:hint="eastAsia" w:ascii="仿宋" w:hAnsi="仿宋" w:eastAsia="仿宋" w:cs="仿宋"/>
          <w:i w:val="0"/>
          <w:iCs w:val="0"/>
          <w:caps w:val="0"/>
          <w:color w:val="333333"/>
          <w:spacing w:val="0"/>
          <w:sz w:val="32"/>
          <w:szCs w:val="32"/>
          <w:shd w:val="clear" w:fill="FFFFFF"/>
          <w:vertAlign w:val="baseline"/>
        </w:rPr>
        <w:t>自身特色，</w:t>
      </w:r>
      <w:r>
        <w:rPr>
          <w:rFonts w:hint="eastAsia" w:ascii="仿宋" w:hAnsi="仿宋" w:eastAsia="仿宋" w:cs="仿宋"/>
          <w:i w:val="0"/>
          <w:iCs w:val="0"/>
          <w:caps w:val="0"/>
          <w:color w:val="222222"/>
          <w:spacing w:val="0"/>
          <w:kern w:val="0"/>
          <w:sz w:val="32"/>
          <w:szCs w:val="32"/>
          <w:shd w:val="clear" w:fill="FFFFFF"/>
          <w:lang w:val="en-US" w:eastAsia="zh-CN" w:bidi="ar"/>
        </w:rPr>
        <w:t>采取“团队搭建、人才引育、成长环境优化”三位一体的建设原则，整体谋划、错位发展，提升核心专科、夯实支撑专科、打造优势专科。</w:t>
      </w:r>
      <w:r>
        <w:rPr>
          <w:rFonts w:hint="eastAsia" w:ascii="仿宋" w:hAnsi="仿宋" w:eastAsia="仿宋" w:cs="仿宋"/>
          <w:b/>
          <w:bCs/>
          <w:i w:val="0"/>
          <w:iCs w:val="0"/>
          <w:caps w:val="0"/>
          <w:color w:val="222222"/>
          <w:spacing w:val="0"/>
          <w:kern w:val="0"/>
          <w:sz w:val="32"/>
          <w:szCs w:val="32"/>
          <w:shd w:val="clear" w:fill="FFFFFF"/>
          <w:lang w:val="en-US" w:eastAsia="zh-CN" w:bidi="ar"/>
        </w:rPr>
        <w:t>二是</w:t>
      </w:r>
      <w:r>
        <w:rPr>
          <w:rFonts w:hint="eastAsia" w:ascii="仿宋" w:hAnsi="仿宋" w:eastAsia="仿宋" w:cs="仿宋"/>
          <w:b w:val="0"/>
          <w:bCs w:val="0"/>
          <w:i w:val="0"/>
          <w:iCs w:val="0"/>
          <w:caps w:val="0"/>
          <w:color w:val="222222"/>
          <w:spacing w:val="0"/>
          <w:kern w:val="0"/>
          <w:sz w:val="32"/>
          <w:szCs w:val="32"/>
          <w:shd w:val="clear" w:fill="FFFFFF"/>
          <w:lang w:val="en-US" w:eastAsia="zh-CN" w:bidi="ar"/>
        </w:rPr>
        <w:t>深入推进精神病质控中心建设。</w:t>
      </w:r>
      <w:r>
        <w:rPr>
          <w:rFonts w:hint="eastAsia" w:ascii="仿宋" w:hAnsi="仿宋" w:eastAsia="仿宋" w:cs="仿宋"/>
          <w:i w:val="0"/>
          <w:iCs w:val="0"/>
          <w:caps w:val="0"/>
          <w:color w:val="222222"/>
          <w:spacing w:val="0"/>
          <w:kern w:val="0"/>
          <w:sz w:val="32"/>
          <w:szCs w:val="32"/>
          <w:shd w:val="clear" w:fill="FFFFFF"/>
          <w:lang w:val="en-US" w:eastAsia="zh-CN" w:bidi="ar"/>
        </w:rPr>
        <w:t>将整合全盟精神心理卫生资源，建立健全并严格落实精神病与精神卫生医疗质量控制制度，充分发挥中心质控作用，突出指导、检查、考核、评价、反馈和监督职能，持续推动全盟精神专科的规范化、法治化和标准化建设，促进区域内相关医疗机构继续优化就诊流程，建立健全患者报告制度，建立与基层医疗机构对口帮扶机制，不断增强群众幸福感、安全感。</w:t>
      </w:r>
    </w:p>
    <w:p>
      <w:pPr>
        <w:pStyle w:val="42"/>
        <w:keepNext w:val="0"/>
        <w:keepLines w:val="0"/>
        <w:pageBreakBefore w:val="0"/>
        <w:widowControl/>
        <w:numPr>
          <w:ilvl w:val="0"/>
          <w:numId w:val="0"/>
        </w:numPr>
        <w:kinsoku/>
        <w:wordWrap/>
        <w:overflowPunct/>
        <w:topLinePunct w:val="0"/>
        <w:autoSpaceDE/>
        <w:autoSpaceDN/>
        <w:bidi w:val="0"/>
        <w:adjustRightInd w:val="0"/>
        <w:snapToGrid w:val="0"/>
        <w:spacing w:line="540" w:lineRule="exact"/>
        <w:ind w:left="0" w:leftChars="0" w:firstLine="640" w:firstLineChars="200"/>
        <w:textAlignment w:val="baseline"/>
        <w:rPr>
          <w:rFonts w:hint="eastAsia" w:ascii="楷体" w:hAnsi="楷体" w:eastAsia="楷体" w:cs="仿宋"/>
          <w:b w:val="0"/>
          <w:bCs w:val="0"/>
          <w:color w:val="auto"/>
          <w:kern w:val="0"/>
          <w:sz w:val="32"/>
          <w:szCs w:val="32"/>
          <w:lang w:val="en-US" w:eastAsia="zh-CN" w:bidi="ar-SA"/>
        </w:rPr>
      </w:pPr>
      <w:r>
        <w:rPr>
          <w:rFonts w:hint="default" w:ascii="楷体" w:hAnsi="楷体" w:eastAsia="楷体" w:cs="仿宋"/>
          <w:b w:val="0"/>
          <w:bCs w:val="0"/>
          <w:color w:val="auto"/>
          <w:kern w:val="0"/>
          <w:sz w:val="32"/>
          <w:szCs w:val="32"/>
          <w:lang w:val="en-US" w:eastAsia="zh-CN" w:bidi="ar-SA"/>
        </w:rPr>
        <w:t>（</w:t>
      </w:r>
      <w:r>
        <w:rPr>
          <w:rFonts w:hint="eastAsia" w:ascii="楷体" w:hAnsi="楷体" w:eastAsia="楷体" w:cs="仿宋"/>
          <w:b w:val="0"/>
          <w:bCs w:val="0"/>
          <w:color w:val="auto"/>
          <w:kern w:val="0"/>
          <w:sz w:val="32"/>
          <w:szCs w:val="32"/>
          <w:lang w:val="en-US" w:eastAsia="zh-CN" w:bidi="ar-SA"/>
        </w:rPr>
        <w:t>五</w:t>
      </w:r>
      <w:r>
        <w:rPr>
          <w:rFonts w:hint="default" w:ascii="楷体" w:hAnsi="楷体" w:eastAsia="楷体" w:cs="仿宋"/>
          <w:b w:val="0"/>
          <w:bCs w:val="0"/>
          <w:color w:val="auto"/>
          <w:kern w:val="0"/>
          <w:sz w:val="32"/>
          <w:szCs w:val="32"/>
          <w:lang w:val="en-US" w:eastAsia="zh-CN" w:bidi="ar-SA"/>
        </w:rPr>
        <w:t>）</w:t>
      </w:r>
      <w:r>
        <w:rPr>
          <w:rFonts w:hint="eastAsia" w:ascii="楷体" w:hAnsi="楷体" w:eastAsia="楷体" w:cs="仿宋"/>
          <w:b w:val="0"/>
          <w:bCs w:val="0"/>
          <w:color w:val="auto"/>
          <w:kern w:val="0"/>
          <w:sz w:val="32"/>
          <w:szCs w:val="32"/>
          <w:lang w:val="en-US" w:eastAsia="zh-CN" w:bidi="ar-SA"/>
        </w:rPr>
        <w:t>筑牢防线</w:t>
      </w:r>
      <w:r>
        <w:rPr>
          <w:rFonts w:hint="default" w:ascii="楷体" w:hAnsi="楷体" w:eastAsia="楷体" w:cs="仿宋"/>
          <w:b w:val="0"/>
          <w:bCs w:val="0"/>
          <w:color w:val="auto"/>
          <w:kern w:val="0"/>
          <w:sz w:val="32"/>
          <w:szCs w:val="32"/>
          <w:lang w:val="en-US" w:eastAsia="zh-CN" w:bidi="ar-SA"/>
        </w:rPr>
        <w:t>，显</w:t>
      </w:r>
      <w:r>
        <w:rPr>
          <w:rFonts w:hint="eastAsia" w:ascii="楷体" w:hAnsi="楷体" w:eastAsia="楷体" w:cs="仿宋"/>
          <w:b w:val="0"/>
          <w:bCs w:val="0"/>
          <w:color w:val="auto"/>
          <w:kern w:val="0"/>
          <w:sz w:val="32"/>
          <w:szCs w:val="32"/>
          <w:lang w:val="en-US" w:eastAsia="zh-CN" w:bidi="ar-SA"/>
        </w:rPr>
        <w:t>平安建设</w:t>
      </w:r>
      <w:r>
        <w:rPr>
          <w:rFonts w:hint="default" w:ascii="楷体" w:hAnsi="楷体" w:eastAsia="楷体" w:cs="仿宋"/>
          <w:b w:val="0"/>
          <w:bCs w:val="0"/>
          <w:color w:val="auto"/>
          <w:kern w:val="0"/>
          <w:sz w:val="32"/>
          <w:szCs w:val="32"/>
          <w:lang w:val="en-US" w:eastAsia="zh-CN" w:bidi="ar-SA"/>
        </w:rPr>
        <w:t>之成效</w:t>
      </w:r>
    </w:p>
    <w:p>
      <w:pPr>
        <w:keepNext w:val="0"/>
        <w:keepLines w:val="0"/>
        <w:pageBreakBefore w:val="0"/>
        <w:widowControl/>
        <w:suppressLineNumbers w:val="0"/>
        <w:wordWrap/>
        <w:overflowPunct/>
        <w:topLinePunct w:val="0"/>
        <w:bidi w:val="0"/>
        <w:spacing w:line="540" w:lineRule="exact"/>
        <w:ind w:left="0" w:leftChars="0" w:firstLine="640" w:firstLineChars="200"/>
        <w:jc w:val="left"/>
        <w:rPr>
          <w:rFonts w:hint="eastAsia" w:ascii="仿宋" w:hAnsi="仿宋" w:eastAsia="仿宋" w:cs="仿宋"/>
          <w:color w:val="080F17"/>
          <w:kern w:val="2"/>
          <w:sz w:val="32"/>
          <w:szCs w:val="32"/>
          <w:lang w:val="en-US" w:eastAsia="zh-CN" w:bidi="ar-SA"/>
        </w:rPr>
      </w:pPr>
      <w:r>
        <w:rPr>
          <w:rFonts w:hint="eastAsia" w:ascii="仿宋" w:hAnsi="仿宋" w:eastAsia="仿宋" w:cs="仿宋"/>
          <w:color w:val="080F17"/>
          <w:kern w:val="2"/>
          <w:sz w:val="32"/>
          <w:szCs w:val="32"/>
          <w:lang w:val="en-US" w:eastAsia="zh-CN" w:bidi="ar-SA"/>
        </w:rPr>
        <w:t>学习新时代“枫桥经验”坚持一手抓医疗纠纷预防处理，一手强化医院安全秩序管理，提升医院科技化、智能化安防水平，维护良好医疗秩序，保障医务人员和患者安全。</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jc w:val="left"/>
        <w:textAlignment w:val="auto"/>
        <w:rPr>
          <w:rFonts w:hint="eastAsia" w:ascii="仿宋" w:hAnsi="仿宋" w:eastAsia="仿宋" w:cs="仿宋"/>
          <w:color w:val="080F17"/>
          <w:kern w:val="2"/>
          <w:sz w:val="32"/>
          <w:szCs w:val="32"/>
          <w:lang w:val="en-US" w:eastAsia="zh-CN" w:bidi="ar-SA"/>
        </w:rPr>
      </w:pPr>
      <w:r>
        <w:rPr>
          <w:rFonts w:hint="eastAsia" w:ascii="仿宋" w:hAnsi="仿宋" w:eastAsia="仿宋" w:cs="仿宋"/>
          <w:b/>
          <w:bCs/>
          <w:color w:val="080F17"/>
          <w:kern w:val="2"/>
          <w:sz w:val="32"/>
          <w:szCs w:val="32"/>
          <w:lang w:val="en-US" w:eastAsia="zh-CN" w:bidi="ar-SA"/>
        </w:rPr>
        <w:t>防范化解涉医矛盾纠纷。</w:t>
      </w:r>
      <w:r>
        <w:rPr>
          <w:rFonts w:hint="eastAsia" w:ascii="仿宋" w:hAnsi="仿宋" w:eastAsia="仿宋" w:cs="仿宋"/>
          <w:color w:val="080F17"/>
          <w:kern w:val="2"/>
          <w:sz w:val="32"/>
          <w:szCs w:val="32"/>
          <w:lang w:val="en-US" w:eastAsia="zh-CN" w:bidi="ar-SA"/>
        </w:rPr>
        <w:t>贯彻落实《医疗机构投诉管理办法》《关于进一步加强医疗机构投诉管理的通知》要求，</w:t>
      </w:r>
      <w:r>
        <w:rPr>
          <w:rFonts w:hint="eastAsia" w:ascii="仿宋" w:hAnsi="仿宋" w:eastAsia="仿宋" w:cs="仿宋"/>
          <w:i w:val="0"/>
          <w:iCs w:val="0"/>
          <w:caps w:val="0"/>
          <w:spacing w:val="7"/>
          <w:sz w:val="32"/>
          <w:szCs w:val="32"/>
          <w:shd w:val="clear" w:fill="FFFFFF"/>
        </w:rPr>
        <w:t>持续优化服务流程，通过医德医风建设、医药领域腐败问题集中整治等行动，持续强化医务人员服务意识，</w:t>
      </w:r>
      <w:r>
        <w:rPr>
          <w:rFonts w:hint="eastAsia" w:ascii="仿宋" w:hAnsi="仿宋" w:eastAsia="仿宋" w:cs="仿宋"/>
          <w:color w:val="080F17"/>
          <w:kern w:val="2"/>
          <w:sz w:val="32"/>
          <w:szCs w:val="32"/>
          <w:lang w:val="en-US" w:eastAsia="zh-CN" w:bidi="ar-SA"/>
        </w:rPr>
        <w:t>建立患者诉求快速响应机制，建立畅通、便捷的投诉渠道和“一站式”投诉解决模式，落实首诉负责制，形成“投诉一分析一整改一避免发生”的闭环管理长效机制，将涉医矛盾纠纷化解在源头和初期。</w:t>
      </w:r>
      <w:r>
        <w:rPr>
          <w:rFonts w:hint="eastAsia" w:ascii="仿宋" w:hAnsi="仿宋" w:eastAsia="仿宋" w:cs="仿宋"/>
          <w:b/>
          <w:bCs/>
          <w:color w:val="080F17"/>
          <w:kern w:val="2"/>
          <w:sz w:val="32"/>
          <w:szCs w:val="32"/>
          <w:lang w:val="en-US" w:eastAsia="zh-CN" w:bidi="ar-SA"/>
        </w:rPr>
        <w:t>完善医疗风险分担机制。</w:t>
      </w:r>
      <w:r>
        <w:rPr>
          <w:rFonts w:hint="eastAsia" w:ascii="仿宋" w:hAnsi="仿宋" w:eastAsia="仿宋" w:cs="仿宋"/>
          <w:color w:val="080F17"/>
          <w:kern w:val="2"/>
          <w:sz w:val="32"/>
          <w:szCs w:val="32"/>
          <w:lang w:val="en-US" w:eastAsia="zh-CN" w:bidi="ar-SA"/>
        </w:rPr>
        <w:t>建立形成以医疗责任险为主体，医疗意外险为补充，其他险种共同发展的医疗风险分担机制。进一步完善多层次医疗保障制度体系，落实医保政策和医疗救助政策，做好困难群众综合帮扶、减免工作，夯实托底保障功能。</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643" w:firstLineChars="200"/>
        <w:jc w:val="left"/>
        <w:textAlignment w:val="auto"/>
        <w:rPr>
          <w:rFonts w:hint="default" w:ascii="仿宋" w:hAnsi="仿宋" w:eastAsia="仿宋" w:cs="仿宋"/>
          <w:color w:val="080F17"/>
          <w:kern w:val="2"/>
          <w:sz w:val="32"/>
          <w:szCs w:val="32"/>
          <w:lang w:val="en-US" w:eastAsia="zh-CN" w:bidi="ar-SA"/>
        </w:rPr>
      </w:pPr>
      <w:r>
        <w:rPr>
          <w:rFonts w:hint="eastAsia" w:ascii="仿宋" w:hAnsi="仿宋" w:eastAsia="仿宋" w:cs="仿宋"/>
          <w:b/>
          <w:bCs/>
          <w:color w:val="080F17"/>
          <w:kern w:val="2"/>
          <w:sz w:val="32"/>
          <w:szCs w:val="32"/>
          <w:lang w:val="en-US" w:eastAsia="zh-CN" w:bidi="ar-SA"/>
        </w:rPr>
        <w:t>加强医院安防系统建设。</w:t>
      </w:r>
      <w:r>
        <w:rPr>
          <w:rFonts w:hint="eastAsia" w:ascii="仿宋" w:hAnsi="仿宋" w:eastAsia="仿宋" w:cs="仿宋"/>
          <w:color w:val="080F17"/>
          <w:kern w:val="2"/>
          <w:sz w:val="32"/>
          <w:szCs w:val="32"/>
          <w:lang w:val="en-US" w:eastAsia="zh-CN" w:bidi="ar-SA"/>
        </w:rPr>
        <w:t>进一步加强医院人防、物防、技防和智慧安防建设，加强专职保卫人员和保安员相关法律知识和保卫业务技能培训。组建应急安保队伍，重点加强人流密集的重点诊疗区域安全保卫，对门诊等重点区域24小时安保巡查值守。通过预约挂号、智慧医保诊间支付、分区域候诊等方式加强诊疗秩序管理。健全警医联动工作机制，强化警务室建设，完善一键报警系统。提升应急处置能力，定期组织医务人员和安保人员进行培训演练，确保发生突发事件实现一分钟自救、三分钟互救、五分钟增援到位的应急响应目标，有效应对各类突发事件。</w:t>
      </w:r>
    </w:p>
    <w:p>
      <w:pPr>
        <w:keepNext w:val="0"/>
        <w:keepLines w:val="0"/>
        <w:pageBreakBefore w:val="0"/>
        <w:widowControl/>
        <w:suppressLineNumbers w:val="0"/>
        <w:wordWrap/>
        <w:overflowPunct/>
        <w:topLinePunct w:val="0"/>
        <w:bidi w:val="0"/>
        <w:spacing w:line="540" w:lineRule="exact"/>
        <w:ind w:left="0" w:leftChars="0" w:firstLine="643" w:firstLineChars="200"/>
        <w:jc w:val="left"/>
        <w:rPr>
          <w:rFonts w:hint="eastAsia" w:ascii="方正小标宋简体" w:hAnsi="方正小标宋简体" w:eastAsia="方正小标宋简体" w:cs="方正小标宋简体"/>
          <w:b w:val="0"/>
          <w:bCs w:val="0"/>
          <w:sz w:val="36"/>
          <w:szCs w:val="36"/>
        </w:rPr>
      </w:pPr>
      <w:r>
        <w:rPr>
          <w:rFonts w:hint="eastAsia" w:ascii="仿宋" w:hAnsi="仿宋" w:eastAsia="仿宋" w:cs="仿宋"/>
          <w:b/>
          <w:bCs/>
          <w:color w:val="080F17"/>
          <w:kern w:val="2"/>
          <w:sz w:val="32"/>
          <w:szCs w:val="32"/>
          <w:lang w:val="en-US" w:eastAsia="zh-CN" w:bidi="ar-SA"/>
        </w:rPr>
        <w:t>加强重点人群管理。</w:t>
      </w:r>
      <w:r>
        <w:rPr>
          <w:rFonts w:hint="eastAsia" w:ascii="仿宋" w:hAnsi="仿宋" w:eastAsia="仿宋" w:cs="仿宋"/>
          <w:color w:val="080F17"/>
          <w:kern w:val="2"/>
          <w:sz w:val="32"/>
          <w:szCs w:val="32"/>
          <w:lang w:val="en-US" w:eastAsia="zh-CN" w:bidi="ar-SA"/>
        </w:rPr>
        <w:t>落实实名制预约诊疗，建立高风险人员预警提醒机制，重视长期住院患者心理状况，定期组织开展心理评估和辅导，及时发现由于心理问题导致的风险隐患。加强精神病人救治管理，建立健全严重精神障碍管理治疗网络，推动严重精神障碍筛查发现、诊断治疗、随访管理制度落实，进一步提高患者检出率、在册患者管理率和服药率，落实患者监护责任。</w:t>
      </w:r>
    </w:p>
    <w:p>
      <w:pPr>
        <w:pStyle w:val="6"/>
        <w:pageBreakBefore w:val="0"/>
        <w:tabs>
          <w:tab w:val="left" w:pos="4392"/>
        </w:tabs>
        <w:kinsoku/>
        <w:wordWrap/>
        <w:overflowPunct/>
        <w:topLinePunct w:val="0"/>
        <w:bidi w:val="0"/>
        <w:spacing w:before="0" w:after="0"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第二部分</w:t>
      </w:r>
      <w:r>
        <w:rPr>
          <w:rFonts w:hint="eastAsia" w:ascii="方正小标宋简体" w:hAnsi="方正小标宋简体" w:eastAsia="方正小标宋简体" w:cs="方正小标宋简体"/>
          <w:b w:val="0"/>
          <w:bCs w:val="0"/>
          <w:sz w:val="36"/>
          <w:szCs w:val="36"/>
          <w:lang w:val="en-US" w:eastAsia="zh-CN"/>
        </w:rPr>
        <w:t>2025</w:t>
      </w:r>
      <w:r>
        <w:rPr>
          <w:rFonts w:hint="eastAsia" w:ascii="方正小标宋简体" w:hAnsi="方正小标宋简体" w:eastAsia="方正小标宋简体" w:cs="方正小标宋简体"/>
          <w:b w:val="0"/>
          <w:bCs w:val="0"/>
          <w:sz w:val="36"/>
          <w:szCs w:val="36"/>
        </w:rPr>
        <w:t>年度部门（单位）预算情况说明</w:t>
      </w:r>
    </w:p>
    <w:p>
      <w:pPr>
        <w:pageBreakBefore w:val="0"/>
        <w:kinsoku/>
        <w:wordWrap/>
        <w:overflowPunct/>
        <w:topLinePunct w:val="0"/>
        <w:bidi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9"/>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锡林郭勒盟安神医院2025</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rPr>
        <w:t>13043.02</w:t>
      </w:r>
      <w:r>
        <w:rPr>
          <w:rFonts w:hint="eastAsia" w:ascii="仿宋_GB2312" w:hAnsi="仿宋_GB2312" w:eastAsia="仿宋_GB2312" w:cs="仿宋_GB2312"/>
          <w:sz w:val="32"/>
          <w:szCs w:val="32"/>
        </w:rPr>
        <w:t>万元，与上年相比收、支预算总计各增加</w:t>
      </w:r>
      <w:r>
        <w:rPr>
          <w:rFonts w:hint="eastAsia" w:ascii="仿宋_GB2312" w:hAnsi="仿宋_GB2312" w:eastAsia="仿宋_GB2312" w:cs="仿宋_GB2312"/>
          <w:sz w:val="32"/>
          <w:szCs w:val="32"/>
          <w:u w:val="single"/>
          <w:lang w:val="en-US" w:eastAsia="zh-CN"/>
        </w:rPr>
        <w:t>1674.56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u w:val="single"/>
          <w:lang w:val="en-US" w:eastAsia="zh-CN"/>
        </w:rPr>
        <w:t>14.73</w:t>
      </w:r>
      <w:r>
        <w:rPr>
          <w:rFonts w:hint="eastAsia" w:ascii="仿宋_GB2312" w:hAnsi="仿宋_GB2312" w:eastAsia="仿宋_GB2312" w:cs="仿宋_GB2312"/>
          <w:sz w:val="32"/>
          <w:szCs w:val="32"/>
        </w:rPr>
        <w:t>%。其中：</w:t>
      </w:r>
    </w:p>
    <w:p>
      <w:pPr>
        <w:pStyle w:val="9"/>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lang w:val="en-US" w:eastAsia="zh-CN"/>
        </w:rPr>
        <w:t>13043.02</w:t>
      </w:r>
      <w:r>
        <w:rPr>
          <w:rFonts w:hint="eastAsia" w:ascii="楷体" w:hAnsi="楷体" w:eastAsia="楷体" w:cs="楷体"/>
          <w:b/>
          <w:bCs/>
          <w:sz w:val="32"/>
          <w:szCs w:val="32"/>
        </w:rPr>
        <w:t>万元。包括：</w:t>
      </w:r>
    </w:p>
    <w:p>
      <w:pPr>
        <w:pStyle w:val="9"/>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eastAsia" w:eastAsia="仿宋_GB2312" w:cs="Times New Roman"/>
          <w:sz w:val="32"/>
          <w:szCs w:val="32"/>
          <w:u w:val="single"/>
          <w:lang w:val="en-US" w:eastAsia="zh-CN"/>
        </w:rPr>
        <w:t>13024.46</w:t>
      </w:r>
      <w:r>
        <w:rPr>
          <w:rFonts w:hint="default" w:ascii="Times New Roman" w:hAnsi="Times New Roman" w:eastAsia="仿宋_GB2312" w:cs="Times New Roman"/>
          <w:sz w:val="32"/>
          <w:szCs w:val="32"/>
        </w:rPr>
        <w:t>万元。</w:t>
      </w:r>
    </w:p>
    <w:p>
      <w:pPr>
        <w:pStyle w:val="9"/>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eastAsia" w:eastAsia="仿宋_GB2312" w:cs="Times New Roman"/>
          <w:sz w:val="32"/>
          <w:szCs w:val="32"/>
          <w:u w:val="single"/>
          <w:lang w:val="en-US" w:eastAsia="zh-CN"/>
        </w:rPr>
        <w:t>1824.46</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lang w:val="en-US" w:eastAsia="zh-CN"/>
        </w:rPr>
        <w:t>85.27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4.9</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本年度增加教育支出30万元、科学技术支出5万元、卫生健康支出增加56.49万元、住房保障支出增加1.98万元、社会保障和就业支出减少33.91万元</w:t>
      </w:r>
      <w:r>
        <w:rPr>
          <w:rFonts w:hint="default" w:ascii="Times New Roman" w:hAnsi="Times New Roman" w:eastAsia="仿宋_GB2312" w:cs="Times New Roman"/>
          <w:sz w:val="32"/>
          <w:szCs w:val="32"/>
        </w:rPr>
        <w:t>。</w:t>
      </w:r>
    </w:p>
    <w:p>
      <w:pPr>
        <w:pStyle w:val="9"/>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u w:val="none"/>
          <w:lang w:val="en-US" w:eastAsia="zh-CN"/>
        </w:rPr>
        <w:t>0</w:t>
      </w:r>
      <w:r>
        <w:rPr>
          <w:rFonts w:hint="default" w:ascii="Times New Roman" w:hAnsi="Times New Roman" w:eastAsia="仿宋_GB2312" w:cs="Times New Roman"/>
          <w:sz w:val="32"/>
          <w:szCs w:val="32"/>
          <w:u w:val="none"/>
        </w:rPr>
        <w:t xml:space="preserve"> </w:t>
      </w:r>
      <w:r>
        <w:rPr>
          <w:rFonts w:hint="default" w:ascii="Times New Roman" w:hAnsi="Times New Roman" w:eastAsia="仿宋_GB2312" w:cs="Times New Roman"/>
          <w:sz w:val="32"/>
          <w:szCs w:val="32"/>
        </w:rPr>
        <w:t>%。</w:t>
      </w:r>
      <w:r>
        <w:rPr>
          <w:rFonts w:eastAsia="仿宋_GB2312"/>
          <w:sz w:val="32"/>
          <w:szCs w:val="32"/>
        </w:rPr>
        <w:t>主要原因是</w:t>
      </w:r>
      <w:r>
        <w:rPr>
          <w:rFonts w:hint="eastAsia" w:eastAsia="仿宋_GB2312"/>
          <w:sz w:val="32"/>
          <w:szCs w:val="32"/>
          <w:lang w:val="en-US" w:eastAsia="zh-CN"/>
        </w:rPr>
        <w:t>不存在此项内容</w:t>
      </w:r>
      <w:r>
        <w:rPr>
          <w:rFonts w:eastAsia="仿宋_GB2312"/>
          <w:sz w:val="32"/>
          <w:szCs w:val="32"/>
        </w:rPr>
        <w:t>。</w:t>
      </w:r>
    </w:p>
    <w:p>
      <w:pPr>
        <w:pStyle w:val="9"/>
        <w:pageBreakBefore w:val="0"/>
        <w:tabs>
          <w:tab w:val="left" w:pos="1389"/>
          <w:tab w:val="left" w:pos="4911"/>
          <w:tab w:val="left" w:pos="5898"/>
        </w:tabs>
        <w:kinsoku/>
        <w:wordWrap/>
        <w:overflowPunct/>
        <w:topLinePunct w:val="0"/>
        <w:bidi w:val="0"/>
        <w:spacing w:after="0" w:line="600" w:lineRule="exact"/>
        <w:ind w:firstLine="640" w:firstLineChars="200"/>
        <w:rPr>
          <w:rFonts w:hint="eastAsia" w:eastAsia="仿宋_GB2312"/>
          <w:sz w:val="32"/>
          <w:szCs w:val="32"/>
          <w:lang w:val="en-US" w:eastAsia="zh-CN"/>
        </w:rPr>
      </w:pPr>
      <w:r>
        <w:rPr>
          <w:rFonts w:eastAsia="仿宋_GB2312"/>
          <w:sz w:val="32"/>
          <w:szCs w:val="32"/>
        </w:rPr>
        <w:t>（3）国有资本经营预算拨款收入</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%。主要原因是</w:t>
      </w:r>
      <w:r>
        <w:rPr>
          <w:rFonts w:hint="eastAsia" w:eastAsia="仿宋_GB2312"/>
          <w:sz w:val="32"/>
          <w:szCs w:val="32"/>
          <w:lang w:val="en-US" w:eastAsia="zh-CN"/>
        </w:rPr>
        <w:t>不存在此项内容</w:t>
      </w:r>
    </w:p>
    <w:p>
      <w:pPr>
        <w:pStyle w:val="9"/>
        <w:tabs>
          <w:tab w:val="left" w:pos="1389"/>
          <w:tab w:val="left" w:pos="4911"/>
          <w:tab w:val="left" w:pos="5898"/>
        </w:tabs>
        <w:spacing w:after="0" w:line="600" w:lineRule="exact"/>
        <w:ind w:firstLine="640" w:firstLineChars="200"/>
        <w:rPr>
          <w:rFonts w:eastAsia="仿宋_GB2312"/>
          <w:sz w:val="32"/>
          <w:szCs w:val="32"/>
        </w:rPr>
      </w:pPr>
      <w:r>
        <w:rPr>
          <w:rFonts w:eastAsia="仿宋_GB2312"/>
          <w:sz w:val="32"/>
          <w:szCs w:val="32"/>
        </w:rPr>
        <w:t>（4）财政专户管理资金收入</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%。主要原因是</w:t>
      </w:r>
      <w:r>
        <w:rPr>
          <w:rFonts w:hint="eastAsia" w:eastAsia="仿宋_GB2312"/>
          <w:sz w:val="32"/>
          <w:szCs w:val="32"/>
          <w:lang w:val="en-US" w:eastAsia="zh-CN"/>
        </w:rPr>
        <w:t>不存在此项内容</w:t>
      </w:r>
      <w:r>
        <w:rPr>
          <w:rFonts w:eastAsia="仿宋_GB2312"/>
          <w:sz w:val="32"/>
          <w:szCs w:val="32"/>
        </w:rPr>
        <w:t>。</w:t>
      </w:r>
    </w:p>
    <w:p>
      <w:pPr>
        <w:pStyle w:val="9"/>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eastAsia" w:eastAsia="仿宋_GB2312" w:cs="Times New Roman"/>
          <w:sz w:val="32"/>
          <w:szCs w:val="32"/>
          <w:u w:val="single"/>
          <w:lang w:val="en-US" w:eastAsia="zh-CN"/>
        </w:rPr>
        <w:t>11200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u w:val="single"/>
          <w:lang w:val="en-US" w:eastAsia="zh-CN"/>
        </w:rPr>
        <w:t>1778</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18.87</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2025年度医院将持续提高医院医疗服务质量，提高诊疗水平，引进新项目新技术提升事业收入</w:t>
      </w:r>
      <w:r>
        <w:rPr>
          <w:rFonts w:hint="default" w:ascii="Times New Roman" w:hAnsi="Times New Roman" w:eastAsia="仿宋_GB2312" w:cs="Times New Roman"/>
          <w:sz w:val="32"/>
          <w:szCs w:val="32"/>
        </w:rPr>
        <w:t>。</w:t>
      </w:r>
    </w:p>
    <w:p>
      <w:pPr>
        <w:pStyle w:val="9"/>
        <w:tabs>
          <w:tab w:val="left" w:pos="1389"/>
          <w:tab w:val="left" w:pos="4911"/>
          <w:tab w:val="left" w:pos="5900"/>
        </w:tabs>
        <w:spacing w:after="0" w:line="600" w:lineRule="exact"/>
        <w:ind w:firstLine="640" w:firstLineChars="200"/>
        <w:rPr>
          <w:rFonts w:hint="default" w:ascii="Times New Roman" w:hAnsi="Times New Roman" w:eastAsia="仿宋_GB2312" w:cs="Times New Roman"/>
          <w:sz w:val="32"/>
          <w:szCs w:val="32"/>
        </w:rPr>
      </w:pPr>
      <w:r>
        <w:rPr>
          <w:rFonts w:eastAsia="仿宋_GB2312"/>
          <w:sz w:val="32"/>
          <w:szCs w:val="32"/>
        </w:rPr>
        <w:t>（6）事业单位经营收入</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%。主要原因是</w:t>
      </w:r>
      <w:r>
        <w:rPr>
          <w:rFonts w:hint="eastAsia" w:eastAsia="仿宋_GB2312"/>
          <w:sz w:val="32"/>
          <w:szCs w:val="32"/>
          <w:lang w:val="en-US" w:eastAsia="zh-CN"/>
        </w:rPr>
        <w:t>不存在此项内容</w:t>
      </w:r>
      <w:r>
        <w:rPr>
          <w:rFonts w:eastAsia="仿宋_GB2312"/>
          <w:sz w:val="32"/>
          <w:szCs w:val="32"/>
        </w:rPr>
        <w:t>。</w:t>
      </w:r>
    </w:p>
    <w:p>
      <w:pPr>
        <w:pStyle w:val="9"/>
        <w:tabs>
          <w:tab w:val="left" w:pos="4320"/>
          <w:tab w:val="left" w:pos="9433"/>
        </w:tabs>
        <w:spacing w:after="0" w:line="600" w:lineRule="exact"/>
        <w:ind w:firstLine="640" w:firstLineChars="200"/>
        <w:rPr>
          <w:rFonts w:eastAsia="仿宋_GB2312"/>
          <w:sz w:val="32"/>
          <w:szCs w:val="32"/>
        </w:rPr>
      </w:pPr>
      <w:r>
        <w:rPr>
          <w:rFonts w:eastAsia="仿宋_GB2312"/>
          <w:sz w:val="32"/>
          <w:szCs w:val="32"/>
        </w:rPr>
        <w:t>（7）上级补助收入</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hint="eastAsia" w:eastAsia="仿宋_GB2312"/>
          <w:sz w:val="32"/>
          <w:szCs w:val="32"/>
          <w:u w:val="single"/>
          <w:lang w:val="en-US" w:eastAsia="zh-CN"/>
        </w:rPr>
        <w:t xml:space="preserve"> 0  </w:t>
      </w:r>
      <w:r>
        <w:rPr>
          <w:rFonts w:eastAsia="仿宋_GB2312"/>
          <w:sz w:val="32"/>
          <w:szCs w:val="32"/>
        </w:rPr>
        <w:t>%。主要原因是</w:t>
      </w:r>
      <w:r>
        <w:rPr>
          <w:rFonts w:hint="eastAsia" w:eastAsia="仿宋_GB2312"/>
          <w:sz w:val="32"/>
          <w:szCs w:val="32"/>
          <w:lang w:val="en-US" w:eastAsia="zh-CN"/>
        </w:rPr>
        <w:t>不存在此项内容</w:t>
      </w:r>
      <w:r>
        <w:rPr>
          <w:rFonts w:eastAsia="仿宋_GB2312"/>
          <w:sz w:val="32"/>
          <w:szCs w:val="32"/>
        </w:rPr>
        <w:t>。</w:t>
      </w:r>
    </w:p>
    <w:p>
      <w:pPr>
        <w:pStyle w:val="9"/>
        <w:tabs>
          <w:tab w:val="left" w:pos="1389"/>
          <w:tab w:val="left" w:pos="4911"/>
          <w:tab w:val="left" w:pos="5900"/>
        </w:tabs>
        <w:spacing w:after="0" w:line="600" w:lineRule="exact"/>
        <w:ind w:firstLine="640" w:firstLineChars="200"/>
        <w:rPr>
          <w:rFonts w:eastAsia="仿宋_GB2312"/>
          <w:sz w:val="32"/>
          <w:szCs w:val="32"/>
        </w:rPr>
      </w:pPr>
      <w:r>
        <w:rPr>
          <w:rFonts w:eastAsia="仿宋_GB2312"/>
          <w:sz w:val="32"/>
          <w:szCs w:val="32"/>
        </w:rPr>
        <w:t>（8）附属单位上缴收入</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%。主要原因是</w:t>
      </w:r>
      <w:r>
        <w:rPr>
          <w:rFonts w:hint="eastAsia" w:eastAsia="仿宋_GB2312"/>
          <w:sz w:val="32"/>
          <w:szCs w:val="32"/>
          <w:lang w:val="en-US" w:eastAsia="zh-CN"/>
        </w:rPr>
        <w:t>不存在此项内容</w:t>
      </w:r>
      <w:r>
        <w:rPr>
          <w:rFonts w:eastAsia="仿宋_GB2312"/>
          <w:sz w:val="32"/>
          <w:szCs w:val="32"/>
        </w:rPr>
        <w:t>。</w:t>
      </w:r>
    </w:p>
    <w:p>
      <w:pPr>
        <w:pStyle w:val="9"/>
        <w:tabs>
          <w:tab w:val="left" w:pos="3310"/>
          <w:tab w:val="left" w:pos="4121"/>
          <w:tab w:val="left" w:pos="9431"/>
        </w:tabs>
        <w:spacing w:after="0" w:line="600" w:lineRule="exact"/>
        <w:ind w:firstLine="640" w:firstLineChars="200"/>
        <w:rPr>
          <w:rFonts w:eastAsia="仿宋_GB2312"/>
          <w:sz w:val="32"/>
          <w:szCs w:val="32"/>
        </w:rPr>
      </w:pPr>
      <w:r>
        <w:rPr>
          <w:rFonts w:eastAsia="仿宋_GB2312"/>
          <w:sz w:val="32"/>
          <w:szCs w:val="32"/>
        </w:rPr>
        <w:t>（9）其他收入</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万元，与上年相比增加（减少）</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万元，增长（减少）</w:t>
      </w:r>
      <w:r>
        <w:rPr>
          <w:rFonts w:eastAsia="仿宋_GB2312"/>
          <w:sz w:val="32"/>
          <w:szCs w:val="32"/>
          <w:u w:val="single"/>
        </w:rPr>
        <w:t xml:space="preserve">  </w:t>
      </w:r>
      <w:r>
        <w:rPr>
          <w:rFonts w:hint="eastAsia" w:eastAsia="仿宋_GB2312"/>
          <w:sz w:val="32"/>
          <w:szCs w:val="32"/>
          <w:u w:val="single"/>
          <w:lang w:val="en-US" w:eastAsia="zh-CN"/>
        </w:rPr>
        <w:t>0</w:t>
      </w:r>
      <w:r>
        <w:rPr>
          <w:rFonts w:eastAsia="仿宋_GB2312"/>
          <w:sz w:val="32"/>
          <w:szCs w:val="32"/>
          <w:u w:val="single"/>
        </w:rPr>
        <w:t xml:space="preserve">   </w:t>
      </w:r>
      <w:r>
        <w:rPr>
          <w:rFonts w:eastAsia="仿宋_GB2312"/>
          <w:sz w:val="32"/>
          <w:szCs w:val="32"/>
        </w:rPr>
        <w:t>%。主要原因是</w:t>
      </w:r>
      <w:r>
        <w:rPr>
          <w:rFonts w:hint="eastAsia" w:eastAsia="仿宋_GB2312"/>
          <w:sz w:val="32"/>
          <w:szCs w:val="32"/>
          <w:lang w:val="en-US" w:eastAsia="zh-CN"/>
        </w:rPr>
        <w:t>不存在此项内容</w:t>
      </w:r>
      <w:r>
        <w:rPr>
          <w:rFonts w:eastAsia="仿宋_GB2312"/>
          <w:sz w:val="32"/>
          <w:szCs w:val="32"/>
        </w:rPr>
        <w:t>。</w:t>
      </w:r>
    </w:p>
    <w:p>
      <w:pPr>
        <w:pStyle w:val="9"/>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2．上年结转结余为</w:t>
      </w:r>
      <w:r>
        <w:rPr>
          <w:rFonts w:hint="eastAsia" w:eastAsia="仿宋_GB2312" w:cs="Times New Roman"/>
          <w:sz w:val="32"/>
          <w:szCs w:val="32"/>
          <w:u w:val="single"/>
          <w:lang w:val="en-US" w:eastAsia="zh-CN"/>
        </w:rPr>
        <w:t>18.56</w:t>
      </w:r>
      <w:r>
        <w:rPr>
          <w:rFonts w:hint="default" w:ascii="Times New Roman" w:hAnsi="Times New Roman" w:eastAsia="仿宋_GB2312" w:cs="Times New Roman"/>
          <w:sz w:val="32"/>
          <w:szCs w:val="32"/>
        </w:rPr>
        <w:t>万元。与上年相比减少</w:t>
      </w:r>
      <w:r>
        <w:rPr>
          <w:rFonts w:hint="eastAsia" w:eastAsia="仿宋_GB2312" w:cs="Times New Roman"/>
          <w:sz w:val="32"/>
          <w:szCs w:val="32"/>
          <w:u w:val="single"/>
          <w:lang w:val="en-US" w:eastAsia="zh-CN"/>
        </w:rPr>
        <w:t>188.71</w:t>
      </w:r>
      <w:r>
        <w:rPr>
          <w:rFonts w:hint="default" w:ascii="Times New Roman" w:hAnsi="Times New Roman" w:eastAsia="仿宋_GB2312" w:cs="Times New Roman"/>
          <w:sz w:val="32"/>
          <w:szCs w:val="32"/>
        </w:rPr>
        <w:t>万元，减少</w:t>
      </w:r>
      <w:r>
        <w:rPr>
          <w:rFonts w:hint="eastAsia" w:eastAsia="仿宋_GB2312" w:cs="Times New Roman"/>
          <w:sz w:val="32"/>
          <w:szCs w:val="32"/>
          <w:u w:val="single"/>
          <w:lang w:val="en-US" w:eastAsia="zh-CN"/>
        </w:rPr>
        <w:t>91.04</w:t>
      </w:r>
      <w:r>
        <w:rPr>
          <w:rFonts w:hint="default" w:ascii="Times New Roman" w:hAnsi="Times New Roman" w:eastAsia="仿宋_GB2312" w:cs="Times New Roman"/>
          <w:sz w:val="32"/>
          <w:szCs w:val="32"/>
        </w:rPr>
        <w:t>%。主要原因是</w:t>
      </w:r>
      <w:r>
        <w:rPr>
          <w:rFonts w:hint="eastAsia" w:ascii="仿宋" w:hAnsi="仿宋" w:eastAsia="仿宋" w:cs="仿宋"/>
          <w:sz w:val="32"/>
          <w:szCs w:val="32"/>
          <w:lang w:val="en-US" w:eastAsia="zh-CN"/>
        </w:rPr>
        <w:t>2024年加快资金使用率，提高资金使用效率，降低结转结余资金。</w:t>
      </w:r>
    </w:p>
    <w:p>
      <w:pPr>
        <w:pStyle w:val="9"/>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rPr>
        <w:t>13043.02</w:t>
      </w:r>
      <w:r>
        <w:rPr>
          <w:rFonts w:hint="eastAsia" w:ascii="楷体" w:hAnsi="楷体" w:eastAsia="楷体" w:cs="楷体"/>
          <w:b/>
          <w:bCs/>
          <w:sz w:val="32"/>
          <w:szCs w:val="32"/>
        </w:rPr>
        <w:t>万元。包括：</w:t>
      </w:r>
    </w:p>
    <w:p>
      <w:pPr>
        <w:pStyle w:val="9"/>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default" w:ascii="Times New Roman" w:hAnsi="Times New Roman" w:eastAsia="仿宋_GB2312" w:cs="Times New Roman"/>
          <w:sz w:val="32"/>
          <w:szCs w:val="32"/>
          <w:u w:val="single"/>
        </w:rPr>
        <w:t>13043.02</w:t>
      </w:r>
      <w:r>
        <w:rPr>
          <w:rFonts w:hint="default" w:ascii="Times New Roman" w:hAnsi="Times New Roman" w:eastAsia="仿宋_GB2312" w:cs="Times New Roman"/>
          <w:sz w:val="32"/>
          <w:szCs w:val="32"/>
        </w:rPr>
        <w:t>万元。</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教育支出</w:t>
      </w:r>
      <w:r>
        <w:rPr>
          <w:rFonts w:hint="default" w:ascii="Times New Roman" w:hAnsi="Times New Roman" w:eastAsia="仿宋_GB2312" w:cs="Times New Roman"/>
          <w:sz w:val="32"/>
          <w:szCs w:val="32"/>
        </w:rPr>
        <w:t>（类）支出</w:t>
      </w:r>
      <w:r>
        <w:rPr>
          <w:rFonts w:hint="eastAsia" w:eastAsia="仿宋_GB2312" w:cs="Times New Roman"/>
          <w:sz w:val="32"/>
          <w:szCs w:val="32"/>
          <w:u w:val="single"/>
          <w:lang w:val="en-US" w:eastAsia="zh-CN"/>
        </w:rPr>
        <w:t>30</w:t>
      </w:r>
      <w:r>
        <w:rPr>
          <w:rFonts w:hint="default" w:ascii="Times New Roman" w:hAnsi="Times New Roman" w:eastAsia="仿宋_GB2312" w:cs="Times New Roman"/>
          <w:sz w:val="32"/>
          <w:szCs w:val="32"/>
        </w:rPr>
        <w:t>万元，主要用于</w:t>
      </w:r>
      <w:r>
        <w:rPr>
          <w:rFonts w:hint="eastAsia" w:eastAsia="仿宋_GB2312" w:cs="Times New Roman"/>
          <w:sz w:val="32"/>
          <w:szCs w:val="32"/>
          <w:lang w:val="en-US" w:eastAsia="zh-CN"/>
        </w:rPr>
        <w:t>提升医院医院培训支出</w:t>
      </w:r>
      <w:r>
        <w:rPr>
          <w:rFonts w:hint="default" w:ascii="Times New Roman" w:hAnsi="Times New Roman" w:eastAsia="仿宋_GB2312" w:cs="Times New Roman"/>
          <w:sz w:val="32"/>
          <w:szCs w:val="32"/>
        </w:rPr>
        <w:t>。与上年相比增加</w:t>
      </w:r>
      <w:r>
        <w:rPr>
          <w:rFonts w:hint="eastAsia" w:eastAsia="仿宋_GB2312" w:cs="Times New Roman"/>
          <w:sz w:val="32"/>
          <w:szCs w:val="32"/>
          <w:u w:val="single"/>
          <w:lang w:val="en-US" w:eastAsia="zh-CN"/>
        </w:rPr>
        <w:t>30</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上年度无此项支出</w:t>
      </w:r>
      <w:r>
        <w:rPr>
          <w:rFonts w:hint="default" w:ascii="Times New Roman" w:hAnsi="Times New Roman" w:eastAsia="仿宋_GB2312" w:cs="Times New Roman"/>
          <w:sz w:val="32"/>
          <w:szCs w:val="32"/>
        </w:rPr>
        <w:t>。</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（2）科学技术支出（类）支出</w:t>
      </w:r>
      <w:r>
        <w:rPr>
          <w:rFonts w:hint="eastAsia" w:eastAsia="仿宋_GB2312" w:cs="Times New Roman"/>
          <w:sz w:val="32"/>
          <w:szCs w:val="32"/>
          <w:u w:val="single"/>
          <w:lang w:val="en-US" w:eastAsia="zh-CN"/>
        </w:rPr>
        <w:t>5</w:t>
      </w:r>
      <w:r>
        <w:rPr>
          <w:rFonts w:hint="default" w:ascii="Times New Roman" w:hAnsi="Times New Roman" w:eastAsia="仿宋_GB2312" w:cs="Times New Roman"/>
          <w:sz w:val="32"/>
          <w:szCs w:val="32"/>
        </w:rPr>
        <w:t>万元，主要用于新型蒙古灸联合康复训练治疗孤独症谱系障碍临床研究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与上年相比增加</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上年度无此项支出</w:t>
      </w:r>
      <w:r>
        <w:rPr>
          <w:rFonts w:hint="default" w:ascii="Times New Roman" w:hAnsi="Times New Roman" w:eastAsia="仿宋_GB2312" w:cs="Times New Roman"/>
          <w:sz w:val="32"/>
          <w:szCs w:val="32"/>
        </w:rPr>
        <w:t>。</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）社会保障和就业支出（类）支出</w:t>
      </w:r>
      <w:r>
        <w:rPr>
          <w:rFonts w:hint="eastAsia" w:eastAsia="仿宋_GB2312" w:cs="Times New Roman"/>
          <w:sz w:val="32"/>
          <w:szCs w:val="32"/>
          <w:highlight w:val="none"/>
          <w:u w:val="single"/>
          <w:lang w:val="en-US" w:eastAsia="zh-CN"/>
        </w:rPr>
        <w:t>124.43</w:t>
      </w:r>
      <w:r>
        <w:rPr>
          <w:rFonts w:hint="default" w:ascii="Times New Roman" w:hAnsi="Times New Roman" w:eastAsia="仿宋_GB2312" w:cs="Times New Roman"/>
          <w:sz w:val="32"/>
          <w:szCs w:val="32"/>
          <w:highlight w:val="none"/>
        </w:rPr>
        <w:t>万元，主要用于</w:t>
      </w:r>
      <w:r>
        <w:rPr>
          <w:rFonts w:ascii="仿宋" w:hAnsi="仿宋" w:eastAsia="仿宋"/>
          <w:sz w:val="32"/>
          <w:szCs w:val="32"/>
          <w:highlight w:val="none"/>
        </w:rPr>
        <w:t>主要用于机关事业单位基本养老保险缴费</w:t>
      </w:r>
      <w:r>
        <w:rPr>
          <w:rFonts w:hint="eastAsia" w:ascii="仿宋" w:hAnsi="仿宋" w:eastAsia="仿宋"/>
          <w:sz w:val="32"/>
          <w:szCs w:val="32"/>
          <w:highlight w:val="none"/>
        </w:rPr>
        <w:t>及事业单位退休人员退休费单位承担部分</w:t>
      </w:r>
      <w:r>
        <w:rPr>
          <w:rFonts w:ascii="仿宋" w:hAnsi="仿宋" w:eastAsia="仿宋"/>
          <w:sz w:val="32"/>
          <w:szCs w:val="32"/>
          <w:highlight w:val="none"/>
        </w:rPr>
        <w:t>。</w:t>
      </w:r>
      <w:r>
        <w:rPr>
          <w:rFonts w:hint="default" w:ascii="Times New Roman" w:hAnsi="Times New Roman" w:eastAsia="仿宋_GB2312" w:cs="Times New Roman"/>
          <w:sz w:val="32"/>
          <w:szCs w:val="32"/>
          <w:highlight w:val="none"/>
        </w:rPr>
        <w:t>与上年相比</w:t>
      </w:r>
      <w:r>
        <w:rPr>
          <w:rFonts w:hint="eastAsia" w:eastAsia="仿宋_GB2312" w:cs="Times New Roman"/>
          <w:sz w:val="32"/>
          <w:szCs w:val="32"/>
          <w:highlight w:val="none"/>
          <w:lang w:val="en-US" w:eastAsia="zh-CN"/>
        </w:rPr>
        <w:t>减少33.91</w:t>
      </w:r>
      <w:r>
        <w:rPr>
          <w:rFonts w:hint="default" w:ascii="Times New Roman" w:hAnsi="Times New Roman" w:eastAsia="仿宋_GB2312" w:cs="Times New Roman"/>
          <w:sz w:val="32"/>
          <w:szCs w:val="32"/>
          <w:highlight w:val="none"/>
        </w:rPr>
        <w:t>万元，</w:t>
      </w:r>
      <w:r>
        <w:rPr>
          <w:rFonts w:hint="eastAsia" w:eastAsia="仿宋_GB2312" w:cs="Times New Roman"/>
          <w:sz w:val="32"/>
          <w:szCs w:val="32"/>
          <w:highlight w:val="none"/>
          <w:lang w:val="en-US" w:eastAsia="zh-CN"/>
        </w:rPr>
        <w:t>减少21.42</w:t>
      </w:r>
      <w:r>
        <w:rPr>
          <w:rFonts w:hint="default" w:ascii="Times New Roman" w:hAnsi="Times New Roman" w:eastAsia="仿宋_GB2312" w:cs="Times New Roman"/>
          <w:sz w:val="32"/>
          <w:szCs w:val="32"/>
          <w:highlight w:val="none"/>
        </w:rPr>
        <w:t>%。主要原因是</w:t>
      </w:r>
      <w:r>
        <w:rPr>
          <w:rFonts w:hint="eastAsia" w:eastAsia="仿宋_GB2312" w:cs="Times New Roman"/>
          <w:sz w:val="32"/>
          <w:szCs w:val="32"/>
          <w:highlight w:val="none"/>
          <w:lang w:val="en-US" w:eastAsia="zh-CN"/>
        </w:rPr>
        <w:t>本年度1名在编人员离职</w:t>
      </w:r>
      <w:r>
        <w:rPr>
          <w:rFonts w:hint="default" w:ascii="Times New Roman" w:hAnsi="Times New Roman" w:eastAsia="仿宋_GB2312" w:cs="Times New Roman"/>
          <w:sz w:val="32"/>
          <w:szCs w:val="32"/>
          <w:highlight w:val="none"/>
        </w:rPr>
        <w:t>。</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hint="eastAsia" w:eastAsia="仿宋_GB2312" w:cs="Times New Roman"/>
          <w:sz w:val="32"/>
          <w:szCs w:val="32"/>
          <w:lang w:val="en-US" w:eastAsia="zh-CN"/>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）卫生健康支出（类）支出</w:t>
      </w:r>
      <w:r>
        <w:rPr>
          <w:rFonts w:hint="eastAsia" w:eastAsia="仿宋_GB2312" w:cs="Times New Roman"/>
          <w:sz w:val="32"/>
          <w:szCs w:val="32"/>
          <w:u w:val="single"/>
          <w:lang w:val="en-US" w:eastAsia="zh-CN"/>
        </w:rPr>
        <w:t>12772.99</w:t>
      </w:r>
      <w:r>
        <w:rPr>
          <w:rFonts w:hint="default" w:ascii="Times New Roman" w:hAnsi="Times New Roman" w:eastAsia="仿宋_GB2312" w:cs="Times New Roman"/>
          <w:sz w:val="32"/>
          <w:szCs w:val="32"/>
        </w:rPr>
        <w:t>万元，主要用于</w:t>
      </w:r>
      <w:r>
        <w:rPr>
          <w:rFonts w:hint="eastAsia" w:ascii="仿宋" w:hAnsi="仿宋" w:eastAsia="仿宋"/>
          <w:sz w:val="32"/>
          <w:szCs w:val="32"/>
        </w:rPr>
        <w:t>医院人员工资发放、日常运营支出及设备购置等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与上年相比增加</w:t>
      </w:r>
      <w:r>
        <w:rPr>
          <w:rFonts w:hint="eastAsia" w:eastAsia="仿宋_GB2312" w:cs="Times New Roman"/>
          <w:sz w:val="32"/>
          <w:szCs w:val="32"/>
          <w:lang w:val="en-US" w:eastAsia="zh-CN"/>
        </w:rPr>
        <w:t>1834.49</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16.77</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2025年度医院将持续提高医院医疗服务质量，消除安全隐患，拟开展安全改造项目、消防安全升级项目等改善诊疗环境的项目。</w:t>
      </w:r>
    </w:p>
    <w:p>
      <w:pPr>
        <w:pStyle w:val="9"/>
        <w:pageBreakBefore w:val="0"/>
        <w:tabs>
          <w:tab w:val="left" w:pos="3288"/>
          <w:tab w:val="left" w:pos="5641"/>
          <w:tab w:val="left" w:pos="6778"/>
        </w:tabs>
        <w:kinsoku/>
        <w:wordWrap/>
        <w:overflowPunct/>
        <w:topLinePunct w:val="0"/>
        <w:bidi w:val="0"/>
        <w:spacing w:after="0" w:line="600" w:lineRule="exact"/>
        <w:ind w:firstLine="640" w:firstLineChars="200"/>
        <w:rPr>
          <w:rFonts w:hint="default" w:eastAsia="仿宋_GB2312" w:cs="Times New Roman"/>
          <w:sz w:val="32"/>
          <w:szCs w:val="32"/>
          <w:lang w:val="en-US" w:eastAsia="zh-CN"/>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）住房保障支出（类）支出</w:t>
      </w:r>
      <w:r>
        <w:rPr>
          <w:rFonts w:hint="eastAsia" w:eastAsia="仿宋_GB2312" w:cs="Times New Roman"/>
          <w:sz w:val="32"/>
          <w:szCs w:val="32"/>
          <w:u w:val="single"/>
          <w:lang w:val="en-US" w:eastAsia="zh-CN"/>
        </w:rPr>
        <w:t>110.6</w:t>
      </w:r>
      <w:r>
        <w:rPr>
          <w:rFonts w:hint="default" w:ascii="Times New Roman" w:hAnsi="Times New Roman" w:eastAsia="仿宋_GB2312" w:cs="Times New Roman"/>
          <w:sz w:val="32"/>
          <w:szCs w:val="32"/>
        </w:rPr>
        <w:t>万元，主要用于</w:t>
      </w:r>
      <w:r>
        <w:rPr>
          <w:rFonts w:hint="eastAsia" w:ascii="仿宋" w:hAnsi="仿宋" w:eastAsia="仿宋"/>
          <w:sz w:val="32"/>
          <w:szCs w:val="32"/>
        </w:rPr>
        <w:t>主要用于缴纳在职人员住房公积金单位承担部分</w:t>
      </w:r>
      <w:r>
        <w:rPr>
          <w:rFonts w:hint="eastAsia" w:ascii="仿宋" w:hAnsi="仿宋" w:eastAsia="仿宋"/>
          <w:sz w:val="32"/>
          <w:szCs w:val="32"/>
          <w:lang w:eastAsia="zh-CN"/>
        </w:rPr>
        <w:t>、</w:t>
      </w:r>
      <w:r>
        <w:rPr>
          <w:rFonts w:hint="eastAsia" w:ascii="仿宋" w:hAnsi="仿宋" w:eastAsia="仿宋"/>
          <w:sz w:val="32"/>
          <w:szCs w:val="32"/>
          <w:lang w:val="en-US" w:eastAsia="zh-CN"/>
        </w:rPr>
        <w:t>住房补贴</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与上年相比增加</w:t>
      </w:r>
      <w:r>
        <w:rPr>
          <w:rFonts w:hint="eastAsia" w:eastAsia="仿宋_GB2312" w:cs="Times New Roman"/>
          <w:sz w:val="32"/>
          <w:szCs w:val="32"/>
          <w:lang w:val="en-US" w:eastAsia="zh-CN"/>
        </w:rPr>
        <w:t>1.98</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1.82</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公积金基数调整</w:t>
      </w:r>
      <w:r>
        <w:rPr>
          <w:rFonts w:hint="eastAsia" w:eastAsia="仿宋_GB2312" w:cs="Times New Roman"/>
          <w:sz w:val="32"/>
          <w:szCs w:val="32"/>
          <w:lang w:val="en-US" w:eastAsia="zh-CN"/>
        </w:rPr>
        <w:t>。</w:t>
      </w:r>
    </w:p>
    <w:p>
      <w:pPr>
        <w:pStyle w:val="9"/>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p>
    <w:p>
      <w:pPr>
        <w:pageBreakBefore w:val="0"/>
        <w:kinsoku/>
        <w:wordWrap/>
        <w:overflowPunct/>
        <w:topLinePunct w:val="0"/>
        <w:bidi w:val="0"/>
        <w:spacing w:line="600" w:lineRule="exact"/>
        <w:ind w:firstLine="640" w:firstLineChars="200"/>
        <w:outlineLvl w:val="0"/>
        <w:rPr>
          <w:rFonts w:ascii="仿宋" w:hAnsi="仿宋" w:eastAsia="仿宋" w:cs="仿宋"/>
          <w:sz w:val="32"/>
          <w:szCs w:val="32"/>
          <w:highlight w:val="yellow"/>
        </w:rPr>
      </w:pPr>
      <w:r>
        <w:rPr>
          <w:rFonts w:hint="eastAsia" w:eastAsia="黑体" w:cs="黑体"/>
          <w:b w:val="0"/>
          <w:bCs w:val="0"/>
          <w:sz w:val="32"/>
          <w:szCs w:val="36"/>
        </w:rPr>
        <w:t>二、收入预算情况说明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val="en-US" w:eastAsia="zh-CN"/>
        </w:rPr>
        <w:t>锡林郭勒盟安神医院2025</w:t>
      </w:r>
      <w:r>
        <w:rPr>
          <w:rFonts w:hint="default" w:ascii="Times New Roman" w:hAnsi="Times New Roman" w:eastAsia="仿宋_GB2312" w:cs="Times New Roman"/>
          <w:sz w:val="32"/>
          <w:szCs w:val="32"/>
        </w:rPr>
        <w:t>年收入预算合计</w:t>
      </w:r>
      <w:r>
        <w:rPr>
          <w:rFonts w:hint="eastAsia" w:eastAsia="仿宋_GB2312" w:cs="Times New Roman"/>
          <w:sz w:val="32"/>
          <w:szCs w:val="32"/>
          <w:u w:val="single"/>
          <w:lang w:val="en-US" w:eastAsia="zh-CN"/>
        </w:rPr>
        <w:t>13043.02</w:t>
      </w:r>
      <w:r>
        <w:rPr>
          <w:rFonts w:hint="default" w:ascii="Times New Roman" w:hAnsi="Times New Roman" w:eastAsia="仿宋_GB2312" w:cs="Times New Roman"/>
          <w:sz w:val="32"/>
          <w:szCs w:val="32"/>
        </w:rPr>
        <w:t>万元，包括本年收入</w:t>
      </w:r>
      <w:r>
        <w:rPr>
          <w:rFonts w:hint="eastAsia" w:eastAsia="仿宋_GB2312" w:cs="Times New Roman"/>
          <w:sz w:val="32"/>
          <w:szCs w:val="32"/>
          <w:u w:val="single"/>
          <w:lang w:val="en-US" w:eastAsia="zh-CN"/>
        </w:rPr>
        <w:t>13024.46</w:t>
      </w:r>
      <w:r>
        <w:rPr>
          <w:rFonts w:hint="default" w:ascii="Times New Roman" w:hAnsi="Times New Roman" w:eastAsia="仿宋_GB2312" w:cs="Times New Roman"/>
          <w:sz w:val="32"/>
          <w:szCs w:val="32"/>
        </w:rPr>
        <w:t>万元，上年结转结余</w:t>
      </w:r>
      <w:r>
        <w:rPr>
          <w:rFonts w:hint="eastAsia" w:eastAsia="仿宋_GB2312" w:cs="Times New Roman"/>
          <w:sz w:val="32"/>
          <w:szCs w:val="32"/>
          <w:u w:val="single"/>
          <w:lang w:val="en-US" w:eastAsia="zh-CN"/>
        </w:rPr>
        <w:t>18.56</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eastAsia" w:eastAsia="仿宋_GB2312" w:cs="Times New Roman"/>
          <w:sz w:val="32"/>
          <w:szCs w:val="32"/>
          <w:u w:val="single"/>
          <w:lang w:val="en-US" w:eastAsia="zh-CN"/>
        </w:rPr>
        <w:t>1824.46</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13.99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11200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85.87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18.56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0.14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val="en-US" w:eastAsia="zh-CN"/>
        </w:rPr>
        <w:t>锡林郭勒盟安神医院2025</w:t>
      </w:r>
      <w:r>
        <w:rPr>
          <w:rFonts w:hint="default" w:ascii="Times New Roman" w:hAnsi="Times New Roman" w:eastAsia="仿宋_GB2312" w:cs="Times New Roman"/>
          <w:sz w:val="32"/>
          <w:szCs w:val="32"/>
        </w:rPr>
        <w:t>年支出预算合计</w:t>
      </w:r>
      <w:r>
        <w:rPr>
          <w:rFonts w:hint="eastAsia" w:eastAsia="仿宋_GB2312" w:cs="Times New Roman"/>
          <w:sz w:val="32"/>
          <w:szCs w:val="32"/>
          <w:u w:val="single"/>
          <w:lang w:val="en-US" w:eastAsia="zh-CN"/>
        </w:rPr>
        <w:t>13043.02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12994.46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99.63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48.56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0.37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u w:val="single"/>
          <w:lang w:val="en-US" w:eastAsia="zh-CN"/>
        </w:rPr>
        <w:t>锡林郭勒盟安神医院2025</w:t>
      </w:r>
      <w:r>
        <w:rPr>
          <w:rFonts w:hint="default" w:ascii="Times New Roman" w:hAnsi="Times New Roman" w:eastAsia="仿宋_GB2312" w:cs="Times New Roman"/>
          <w:sz w:val="32"/>
          <w:szCs w:val="32"/>
        </w:rPr>
        <w:t>年度财政拨款收、支总预算</w:t>
      </w:r>
      <w:r>
        <w:rPr>
          <w:rFonts w:hint="default" w:ascii="Times New Roman" w:hAnsi="Times New Roman" w:eastAsia="仿宋_GB2312" w:cs="Times New Roman"/>
          <w:sz w:val="32"/>
          <w:szCs w:val="32"/>
          <w:u w:val="single"/>
        </w:rPr>
        <w:t>1843.02</w:t>
      </w:r>
      <w:r>
        <w:rPr>
          <w:rFonts w:hint="default" w:ascii="Times New Roman" w:hAnsi="Times New Roman" w:eastAsia="仿宋_GB2312" w:cs="Times New Roman"/>
          <w:sz w:val="32"/>
          <w:szCs w:val="32"/>
        </w:rPr>
        <w:t>万元。与上年相比，财政拨款收、支总计各减少</w:t>
      </w:r>
      <w:r>
        <w:rPr>
          <w:rFonts w:hint="eastAsia" w:eastAsia="仿宋_GB2312" w:cs="Times New Roman"/>
          <w:sz w:val="32"/>
          <w:szCs w:val="32"/>
          <w:u w:val="single"/>
          <w:lang w:val="en-US" w:eastAsia="zh-CN"/>
        </w:rPr>
        <w:t>103.44</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5.31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本年度较上年度结转资金减少</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val="en-US" w:eastAsia="zh-CN"/>
        </w:rPr>
        <w:t>锡林郭勒盟安神医院2025</w:t>
      </w:r>
      <w:r>
        <w:rPr>
          <w:rFonts w:hint="default" w:ascii="Times New Roman" w:hAnsi="Times New Roman" w:eastAsia="仿宋_GB2312" w:cs="Times New Roman"/>
          <w:sz w:val="32"/>
          <w:szCs w:val="32"/>
        </w:rPr>
        <w:t>年一般公共预算财政拨款支出预算</w:t>
      </w:r>
      <w:r>
        <w:rPr>
          <w:rFonts w:hint="eastAsia" w:eastAsia="仿宋_GB2312" w:cs="Times New Roman"/>
          <w:sz w:val="32"/>
          <w:szCs w:val="32"/>
          <w:u w:val="single"/>
          <w:lang w:val="en-US" w:eastAsia="zh-CN"/>
        </w:rPr>
        <w:t>1843.02</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59.56</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3.34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人员薪资调整</w:t>
      </w:r>
      <w:r>
        <w:rPr>
          <w:rFonts w:hint="default" w:ascii="Times New Roman" w:hAnsi="Times New Roman" w:eastAsia="仿宋_GB2312" w:cs="Times New Roman"/>
          <w:sz w:val="32"/>
          <w:szCs w:val="32"/>
        </w:rPr>
        <w:t>。</w:t>
      </w:r>
    </w:p>
    <w:p>
      <w:pPr>
        <w:pStyle w:val="9"/>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w:t>
      </w:r>
      <w:r>
        <w:rPr>
          <w:rFonts w:hint="default" w:ascii="楷体" w:hAnsi="楷体" w:eastAsia="楷体" w:cs="楷体"/>
          <w:b/>
          <w:bCs/>
          <w:sz w:val="32"/>
          <w:szCs w:val="32"/>
        </w:rPr>
        <w:t>教育支出</w:t>
      </w:r>
      <w:r>
        <w:rPr>
          <w:rFonts w:hint="eastAsia" w:ascii="楷体" w:hAnsi="楷体" w:eastAsia="楷体" w:cs="楷体"/>
          <w:b/>
          <w:bCs/>
          <w:sz w:val="32"/>
          <w:szCs w:val="32"/>
        </w:rPr>
        <w:t>（类）</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1.进修及培训（款）培训支出（项）。年初预算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30</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w:t>
      </w:r>
      <w:r>
        <w:rPr>
          <w:rFonts w:hint="eastAsia" w:eastAsia="仿宋_GB2312" w:cs="Times New Roman"/>
          <w:sz w:val="32"/>
          <w:szCs w:val="32"/>
          <w:lang w:val="en-US" w:eastAsia="zh-CN"/>
        </w:rPr>
        <w:t>上年度无此项预算</w:t>
      </w:r>
      <w:r>
        <w:rPr>
          <w:rFonts w:hint="default" w:ascii="Times New Roman" w:hAnsi="Times New Roman" w:eastAsia="仿宋_GB2312" w:cs="Times New Roman"/>
          <w:sz w:val="32"/>
          <w:szCs w:val="32"/>
        </w:rPr>
        <w:t>。</w:t>
      </w:r>
    </w:p>
    <w:p>
      <w:pPr>
        <w:pStyle w:val="9"/>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（二）科学技术支出（类）</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1．应用研究（款）其他应用研究支出（项）。年初预算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w:t>
      </w:r>
      <w:r>
        <w:rPr>
          <w:rFonts w:hint="default" w:ascii="Times New Roman" w:hAnsi="Times New Roman" w:eastAsia="仿宋_GB2312" w:cs="Times New Roman"/>
          <w:sz w:val="32"/>
          <w:szCs w:val="32"/>
        </w:rPr>
        <w:t>万元，与上年相比增加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5</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%。变动原因</w:t>
      </w:r>
      <w:r>
        <w:rPr>
          <w:rFonts w:hint="eastAsia" w:eastAsia="仿宋_GB2312" w:cs="Times New Roman"/>
          <w:sz w:val="32"/>
          <w:szCs w:val="32"/>
          <w:lang w:eastAsia="zh-CN"/>
        </w:rPr>
        <w:t>：</w:t>
      </w:r>
      <w:r>
        <w:rPr>
          <w:rFonts w:hint="eastAsia" w:eastAsia="仿宋_GB2312" w:cs="Times New Roman"/>
          <w:sz w:val="32"/>
          <w:szCs w:val="32"/>
          <w:lang w:val="en-US" w:eastAsia="zh-CN"/>
        </w:rPr>
        <w:t>上年度无此项预算</w:t>
      </w:r>
      <w:r>
        <w:rPr>
          <w:rFonts w:hint="default" w:ascii="Times New Roman" w:hAnsi="Times New Roman" w:eastAsia="仿宋_GB2312" w:cs="Times New Roman"/>
          <w:sz w:val="32"/>
          <w:szCs w:val="32"/>
        </w:rPr>
        <w:t>。</w:t>
      </w:r>
    </w:p>
    <w:p>
      <w:pPr>
        <w:pStyle w:val="9"/>
        <w:tabs>
          <w:tab w:val="left" w:pos="4275"/>
        </w:tabs>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社会保障和就业支出</w:t>
      </w:r>
      <w:r>
        <w:rPr>
          <w:rFonts w:hint="eastAsia" w:ascii="楷体" w:hAnsi="楷体" w:eastAsia="楷体" w:cs="楷体"/>
          <w:b/>
          <w:bCs/>
          <w:sz w:val="32"/>
          <w:szCs w:val="32"/>
        </w:rPr>
        <w:t>（类）</w:t>
      </w:r>
    </w:p>
    <w:p>
      <w:pPr>
        <w:pStyle w:val="9"/>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sz w:val="32"/>
          <w:szCs w:val="32"/>
          <w:lang w:val="en-US" w:eastAsia="zh-CN"/>
        </w:rPr>
        <w:t>行政事业单位养老支出（款）事业单位离退休（项）。</w:t>
      </w:r>
      <w:r>
        <w:rPr>
          <w:rFonts w:hint="eastAsia" w:ascii="仿宋" w:hAnsi="仿宋" w:eastAsia="仿宋" w:cs="仿宋"/>
          <w:sz w:val="32"/>
          <w:szCs w:val="32"/>
        </w:rPr>
        <w:t>年初预算</w:t>
      </w:r>
      <w:r>
        <w:rPr>
          <w:rFonts w:hint="eastAsia" w:ascii="仿宋" w:hAnsi="仿宋" w:eastAsia="仿宋" w:cs="仿宋"/>
          <w:sz w:val="32"/>
          <w:szCs w:val="32"/>
          <w:u w:val="single"/>
        </w:rPr>
        <w:t xml:space="preserve"> </w:t>
      </w:r>
      <w:r>
        <w:rPr>
          <w:rFonts w:hint="eastAsia" w:ascii="Times New Roman" w:hAnsi="Times New Roman" w:eastAsia="仿宋" w:cs="Times New Roman"/>
          <w:sz w:val="32"/>
          <w:szCs w:val="32"/>
          <w:u w:val="single"/>
          <w:lang w:val="en-US" w:eastAsia="zh-CN"/>
        </w:rPr>
        <w:t xml:space="preserve">33.41 </w:t>
      </w:r>
      <w:r>
        <w:rPr>
          <w:rFonts w:hint="eastAsia" w:ascii="仿宋" w:hAnsi="仿宋" w:eastAsia="仿宋" w:cs="仿宋"/>
          <w:sz w:val="32"/>
          <w:szCs w:val="32"/>
        </w:rPr>
        <w:t>万元，与上年相比</w:t>
      </w:r>
      <w:r>
        <w:rPr>
          <w:rFonts w:hint="eastAsia" w:ascii="仿宋" w:hAnsi="仿宋" w:eastAsia="仿宋" w:cs="仿宋"/>
          <w:sz w:val="32"/>
          <w:szCs w:val="32"/>
          <w:lang w:val="en-US" w:eastAsia="zh-CN"/>
        </w:rPr>
        <w:t>减少</w:t>
      </w:r>
      <w:r>
        <w:rPr>
          <w:rFonts w:hint="eastAsia" w:ascii="Times New Roman" w:hAnsi="Times New Roman" w:eastAsia="仿宋" w:cs="Times New Roman"/>
          <w:sz w:val="32"/>
          <w:szCs w:val="32"/>
          <w:u w:val="single"/>
          <w:lang w:val="en-US" w:eastAsia="zh-CN"/>
        </w:rPr>
        <w:t>0.98</w:t>
      </w:r>
      <w:r>
        <w:rPr>
          <w:rFonts w:hint="eastAsia" w:ascii="仿宋" w:hAnsi="仿宋" w:eastAsia="仿宋" w:cs="仿宋"/>
          <w:sz w:val="32"/>
          <w:szCs w:val="32"/>
        </w:rPr>
        <w:t>万元，</w:t>
      </w:r>
      <w:r>
        <w:rPr>
          <w:rFonts w:hint="eastAsia" w:ascii="仿宋" w:hAnsi="仿宋" w:eastAsia="仿宋" w:cs="仿宋"/>
          <w:sz w:val="32"/>
          <w:szCs w:val="32"/>
          <w:lang w:val="en-US" w:eastAsia="zh-CN"/>
        </w:rPr>
        <w:t>减少</w:t>
      </w:r>
      <w:r>
        <w:rPr>
          <w:rFonts w:hint="eastAsia" w:ascii="Times New Roman" w:hAnsi="Times New Roman" w:eastAsia="仿宋" w:cs="Times New Roman"/>
          <w:sz w:val="32"/>
          <w:szCs w:val="32"/>
          <w:u w:val="single"/>
          <w:lang w:val="en-US" w:eastAsia="zh-CN"/>
        </w:rPr>
        <w:t xml:space="preserve"> 2.85</w:t>
      </w:r>
      <w:r>
        <w:rPr>
          <w:rFonts w:hint="eastAsia" w:ascii="仿宋" w:hAnsi="仿宋" w:eastAsia="仿宋" w:cs="仿宋"/>
          <w:sz w:val="32"/>
          <w:szCs w:val="32"/>
        </w:rPr>
        <w:t>%。变动原因：</w:t>
      </w:r>
      <w:r>
        <w:rPr>
          <w:rFonts w:hint="eastAsia" w:ascii="仿宋" w:hAnsi="仿宋" w:eastAsia="仿宋" w:cs="仿宋"/>
          <w:sz w:val="32"/>
          <w:szCs w:val="32"/>
          <w:lang w:val="en-US" w:eastAsia="zh-CN"/>
        </w:rPr>
        <w:t>本年度1名退休人员去世</w:t>
      </w:r>
      <w:r>
        <w:rPr>
          <w:rFonts w:hint="eastAsia" w:ascii="仿宋" w:hAnsi="仿宋" w:eastAsia="仿宋" w:cs="仿宋"/>
          <w:sz w:val="32"/>
          <w:szCs w:val="32"/>
        </w:rPr>
        <w:t>。</w:t>
      </w:r>
    </w:p>
    <w:p>
      <w:pPr>
        <w:pStyle w:val="9"/>
        <w:spacing w:after="0"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行政事业单位养老支出（款）机关事业单位基本养老保险缴费支出（项）。年初预算</w:t>
      </w:r>
      <w:r>
        <w:rPr>
          <w:rFonts w:hint="default"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91.02</w:t>
      </w:r>
      <w:r>
        <w:rPr>
          <w:rFonts w:hint="eastAsia" w:ascii="仿宋" w:hAnsi="仿宋" w:eastAsia="仿宋" w:cs="仿宋"/>
          <w:sz w:val="32"/>
          <w:szCs w:val="32"/>
        </w:rPr>
        <w:t>万元，与上年相比增加</w:t>
      </w:r>
      <w:r>
        <w:rPr>
          <w:rFonts w:hint="eastAsia" w:ascii="Times New Roman" w:hAnsi="Times New Roman" w:eastAsia="仿宋" w:cs="Times New Roman"/>
          <w:sz w:val="32"/>
          <w:szCs w:val="32"/>
          <w:u w:val="single"/>
        </w:rPr>
        <w:t xml:space="preserve"> </w:t>
      </w:r>
      <w:r>
        <w:rPr>
          <w:rFonts w:hint="eastAsia" w:ascii="Times New Roman" w:hAnsi="Times New Roman" w:eastAsia="仿宋" w:cs="Times New Roman"/>
          <w:sz w:val="32"/>
          <w:szCs w:val="32"/>
          <w:u w:val="single"/>
          <w:lang w:val="en-US" w:eastAsia="zh-CN"/>
        </w:rPr>
        <w:t>9.28</w:t>
      </w:r>
      <w:r>
        <w:rPr>
          <w:rFonts w:hint="eastAsia" w:ascii="Times New Roman" w:hAnsi="Times New Roman" w:eastAsia="仿宋" w:cs="Times New Roman"/>
          <w:sz w:val="32"/>
          <w:szCs w:val="32"/>
          <w:u w:val="single"/>
        </w:rPr>
        <w:t xml:space="preserve"> </w:t>
      </w:r>
      <w:r>
        <w:rPr>
          <w:rFonts w:hint="eastAsia" w:ascii="仿宋" w:hAnsi="仿宋" w:eastAsia="仿宋" w:cs="仿宋"/>
          <w:sz w:val="32"/>
          <w:szCs w:val="32"/>
        </w:rPr>
        <w:t>万元，增长</w:t>
      </w:r>
      <w:r>
        <w:rPr>
          <w:rFonts w:hint="eastAsia" w:ascii="Times New Roman" w:hAnsi="Times New Roman" w:eastAsia="仿宋" w:cs="Times New Roman"/>
          <w:sz w:val="32"/>
          <w:szCs w:val="32"/>
          <w:u w:val="single"/>
          <w:lang w:val="en-US" w:eastAsia="zh-CN"/>
        </w:rPr>
        <w:t>11.35</w:t>
      </w:r>
      <w:r>
        <w:rPr>
          <w:rFonts w:hint="eastAsia" w:ascii="Times New Roman" w:hAnsi="Times New Roman" w:eastAsia="仿宋" w:cs="Times New Roman"/>
          <w:sz w:val="32"/>
          <w:szCs w:val="32"/>
          <w:u w:val="single"/>
        </w:rPr>
        <w:t xml:space="preserve"> </w:t>
      </w:r>
      <w:r>
        <w:rPr>
          <w:rFonts w:hint="eastAsia" w:ascii="仿宋" w:hAnsi="仿宋" w:eastAsia="仿宋" w:cs="仿宋"/>
          <w:sz w:val="32"/>
          <w:szCs w:val="32"/>
        </w:rPr>
        <w:t>%。变动原因：</w:t>
      </w:r>
      <w:r>
        <w:rPr>
          <w:rFonts w:hint="eastAsia" w:ascii="仿宋" w:hAnsi="仿宋" w:eastAsia="仿宋" w:cs="仿宋"/>
          <w:sz w:val="32"/>
          <w:szCs w:val="32"/>
          <w:lang w:val="en-US" w:eastAsia="zh-CN"/>
        </w:rPr>
        <w:t>养老保险基数调整</w:t>
      </w:r>
      <w:r>
        <w:rPr>
          <w:rFonts w:hint="eastAsia" w:ascii="仿宋" w:hAnsi="仿宋" w:eastAsia="仿宋" w:cs="仿宋"/>
          <w:sz w:val="32"/>
          <w:szCs w:val="32"/>
        </w:rPr>
        <w:t>。</w:t>
      </w:r>
    </w:p>
    <w:p>
      <w:pPr>
        <w:pStyle w:val="9"/>
        <w:tabs>
          <w:tab w:val="left" w:pos="4275"/>
        </w:tabs>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w:t>
      </w:r>
      <w:r>
        <w:rPr>
          <w:rFonts w:hint="eastAsia" w:ascii="楷体" w:hAnsi="楷体" w:eastAsia="楷体" w:cs="楷体"/>
          <w:b/>
          <w:bCs/>
          <w:sz w:val="32"/>
          <w:szCs w:val="32"/>
          <w:lang w:val="en-US" w:eastAsia="zh-CN"/>
        </w:rPr>
        <w:t>卫生健康支出</w:t>
      </w:r>
      <w:r>
        <w:rPr>
          <w:rFonts w:hint="eastAsia" w:ascii="楷体" w:hAnsi="楷体" w:eastAsia="楷体" w:cs="楷体"/>
          <w:b/>
          <w:bCs/>
          <w:sz w:val="32"/>
          <w:szCs w:val="32"/>
        </w:rPr>
        <w:t>（类）</w:t>
      </w:r>
    </w:p>
    <w:p>
      <w:pPr>
        <w:pStyle w:val="9"/>
        <w:spacing w:after="0" w:line="600" w:lineRule="exact"/>
        <w:ind w:firstLine="640" w:firstLineChars="200"/>
        <w:rPr>
          <w:rFonts w:eastAsia="仿宋_GB2312"/>
          <w:sz w:val="32"/>
          <w:szCs w:val="32"/>
        </w:rPr>
      </w:pPr>
      <w:r>
        <w:rPr>
          <w:rFonts w:eastAsia="仿宋_GB2312"/>
          <w:sz w:val="32"/>
          <w:szCs w:val="32"/>
        </w:rPr>
        <w:t>1</w:t>
      </w:r>
      <w:r>
        <w:rPr>
          <w:rFonts w:hint="eastAsia" w:eastAsia="仿宋_GB2312"/>
          <w:sz w:val="32"/>
          <w:szCs w:val="32"/>
          <w:lang w:val="en-US" w:eastAsia="zh-CN"/>
        </w:rPr>
        <w:t>.公立医院</w:t>
      </w:r>
      <w:r>
        <w:rPr>
          <w:rFonts w:eastAsia="仿宋_GB2312"/>
          <w:sz w:val="32"/>
          <w:szCs w:val="32"/>
        </w:rPr>
        <w:t>（款）</w:t>
      </w:r>
      <w:r>
        <w:rPr>
          <w:rFonts w:hint="eastAsia" w:eastAsia="仿宋_GB2312"/>
          <w:sz w:val="32"/>
          <w:szCs w:val="32"/>
          <w:lang w:val="en-US" w:eastAsia="zh-CN"/>
        </w:rPr>
        <w:t>精神病医院</w:t>
      </w:r>
      <w:r>
        <w:rPr>
          <w:rFonts w:eastAsia="仿宋_GB2312"/>
          <w:sz w:val="32"/>
          <w:szCs w:val="32"/>
        </w:rPr>
        <w:t>（项）。年初预算</w:t>
      </w:r>
      <w:r>
        <w:rPr>
          <w:rFonts w:eastAsia="仿宋_GB2312"/>
          <w:sz w:val="32"/>
          <w:szCs w:val="32"/>
          <w:u w:val="single"/>
        </w:rPr>
        <w:t xml:space="preserve"> </w:t>
      </w:r>
      <w:r>
        <w:rPr>
          <w:rFonts w:hint="eastAsia" w:eastAsia="仿宋_GB2312"/>
          <w:sz w:val="32"/>
          <w:szCs w:val="32"/>
          <w:u w:val="single"/>
          <w:lang w:val="en-US" w:eastAsia="zh-CN"/>
        </w:rPr>
        <w:t>1516.48</w:t>
      </w:r>
      <w:r>
        <w:rPr>
          <w:rFonts w:eastAsia="仿宋_GB2312"/>
          <w:sz w:val="32"/>
          <w:szCs w:val="32"/>
          <w:u w:val="single"/>
        </w:rPr>
        <w:t xml:space="preserve"> </w:t>
      </w:r>
      <w:r>
        <w:rPr>
          <w:rFonts w:eastAsia="仿宋_GB2312"/>
          <w:sz w:val="32"/>
          <w:szCs w:val="32"/>
        </w:rPr>
        <w:t>万元，与上年相比增加</w:t>
      </w:r>
      <w:r>
        <w:rPr>
          <w:rFonts w:eastAsia="仿宋_GB2312"/>
          <w:sz w:val="32"/>
          <w:szCs w:val="32"/>
          <w:u w:val="single"/>
        </w:rPr>
        <w:t xml:space="preserve"> </w:t>
      </w:r>
      <w:r>
        <w:rPr>
          <w:rFonts w:hint="eastAsia" w:eastAsia="仿宋_GB2312"/>
          <w:sz w:val="32"/>
          <w:szCs w:val="32"/>
          <w:u w:val="single"/>
          <w:lang w:val="en-US" w:eastAsia="zh-CN"/>
        </w:rPr>
        <w:t>72.24</w:t>
      </w:r>
      <w:r>
        <w:rPr>
          <w:rFonts w:eastAsia="仿宋_GB2312"/>
          <w:sz w:val="32"/>
          <w:szCs w:val="32"/>
          <w:u w:val="single"/>
        </w:rPr>
        <w:t xml:space="preserve"> </w:t>
      </w:r>
      <w:r>
        <w:rPr>
          <w:rFonts w:eastAsia="仿宋_GB2312"/>
          <w:sz w:val="32"/>
          <w:szCs w:val="32"/>
        </w:rPr>
        <w:t>万元，增长</w:t>
      </w:r>
      <w:r>
        <w:rPr>
          <w:rFonts w:eastAsia="仿宋_GB2312"/>
          <w:sz w:val="32"/>
          <w:szCs w:val="32"/>
          <w:u w:val="single"/>
        </w:rPr>
        <w:t xml:space="preserve"> </w:t>
      </w:r>
      <w:r>
        <w:rPr>
          <w:rFonts w:hint="eastAsia" w:eastAsia="仿宋_GB2312"/>
          <w:sz w:val="32"/>
          <w:szCs w:val="32"/>
          <w:u w:val="single"/>
          <w:lang w:val="en-US" w:eastAsia="zh-CN"/>
        </w:rPr>
        <w:t>5</w:t>
      </w:r>
      <w:r>
        <w:rPr>
          <w:rFonts w:eastAsia="仿宋_GB2312"/>
          <w:sz w:val="32"/>
          <w:szCs w:val="32"/>
        </w:rPr>
        <w:t>%。变动原因</w:t>
      </w:r>
      <w:r>
        <w:rPr>
          <w:rFonts w:hint="eastAsia" w:eastAsia="仿宋_GB2312"/>
          <w:sz w:val="32"/>
          <w:szCs w:val="32"/>
          <w:lang w:eastAsia="zh-CN"/>
        </w:rPr>
        <w:t>：</w:t>
      </w:r>
      <w:r>
        <w:rPr>
          <w:rFonts w:hint="eastAsia" w:eastAsia="仿宋_GB2312"/>
          <w:sz w:val="32"/>
          <w:szCs w:val="32"/>
          <w:lang w:val="en-US" w:eastAsia="zh-CN"/>
        </w:rPr>
        <w:t>人员薪资调整</w:t>
      </w:r>
      <w:r>
        <w:rPr>
          <w:rFonts w:eastAsia="仿宋_GB2312"/>
          <w:sz w:val="32"/>
          <w:szCs w:val="32"/>
        </w:rPr>
        <w:t>。</w:t>
      </w:r>
    </w:p>
    <w:p>
      <w:pPr>
        <w:pStyle w:val="9"/>
        <w:spacing w:after="0" w:line="60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2.公共卫生（款）重大公共卫生服务（项）。年初预算</w:t>
      </w:r>
      <w:r>
        <w:rPr>
          <w:rFonts w:hint="eastAsia" w:ascii="Times New Roman" w:hAnsi="Times New Roman" w:eastAsia="仿宋_GB2312" w:cs="Times New Roman"/>
          <w:sz w:val="32"/>
          <w:szCs w:val="32"/>
          <w:u w:val="single"/>
          <w:lang w:val="en-US" w:eastAsia="zh-CN"/>
        </w:rPr>
        <w:t>13.56</w:t>
      </w:r>
      <w:r>
        <w:rPr>
          <w:rFonts w:hint="eastAsia" w:ascii="Times New Roman" w:hAnsi="Times New Roman" w:eastAsia="仿宋_GB2312" w:cs="Times New Roman"/>
          <w:sz w:val="32"/>
          <w:szCs w:val="32"/>
          <w:lang w:val="en-US" w:eastAsia="zh-CN"/>
        </w:rPr>
        <w:t>万元，与上年相比增加</w:t>
      </w:r>
      <w:r>
        <w:rPr>
          <w:rFonts w:hint="eastAsia" w:ascii="Times New Roman" w:hAnsi="Times New Roman" w:eastAsia="仿宋_GB2312" w:cs="Times New Roman"/>
          <w:sz w:val="32"/>
          <w:szCs w:val="32"/>
          <w:u w:val="single"/>
          <w:lang w:val="en-US" w:eastAsia="zh-CN"/>
        </w:rPr>
        <w:t>2.38</w:t>
      </w:r>
      <w:r>
        <w:rPr>
          <w:rFonts w:hint="eastAsia" w:ascii="Times New Roman" w:hAnsi="Times New Roman" w:eastAsia="仿宋_GB2312" w:cs="Times New Roman"/>
          <w:sz w:val="32"/>
          <w:szCs w:val="32"/>
          <w:lang w:val="en-US" w:eastAsia="zh-CN"/>
        </w:rPr>
        <w:t>万元，增加</w:t>
      </w:r>
      <w:r>
        <w:rPr>
          <w:rFonts w:hint="eastAsia" w:ascii="Times New Roman" w:hAnsi="Times New Roman" w:eastAsia="仿宋_GB2312" w:cs="Times New Roman"/>
          <w:sz w:val="32"/>
          <w:szCs w:val="32"/>
          <w:u w:val="single"/>
          <w:lang w:val="en-US" w:eastAsia="zh-CN"/>
        </w:rPr>
        <w:t>21.28</w:t>
      </w:r>
      <w:r>
        <w:rPr>
          <w:rFonts w:hint="eastAsia" w:ascii="Times New Roman" w:hAnsi="Times New Roman" w:eastAsia="仿宋_GB2312" w:cs="Times New Roman"/>
          <w:sz w:val="32"/>
          <w:szCs w:val="32"/>
          <w:lang w:val="en-US" w:eastAsia="zh-CN"/>
        </w:rPr>
        <w:t>%。变动原因：</w:t>
      </w:r>
      <w:r>
        <w:rPr>
          <w:rFonts w:hint="eastAsia" w:ascii="Times New Roman" w:hAnsi="Times New Roman" w:eastAsia="仿宋_GB2312" w:cs="Times New Roman"/>
          <w:sz w:val="32"/>
          <w:szCs w:val="32"/>
        </w:rPr>
        <w:t>本年度</w:t>
      </w:r>
      <w:r>
        <w:rPr>
          <w:rFonts w:hint="eastAsia" w:ascii="Times New Roman" w:hAnsi="Times New Roman" w:eastAsia="仿宋_GB2312" w:cs="Times New Roman"/>
          <w:sz w:val="32"/>
          <w:szCs w:val="32"/>
          <w:lang w:val="en-US" w:eastAsia="zh-CN"/>
        </w:rPr>
        <w:t>无</w:t>
      </w:r>
      <w:r>
        <w:rPr>
          <w:rFonts w:hint="eastAsia" w:ascii="Times New Roman" w:hAnsi="Times New Roman" w:eastAsia="仿宋_GB2312" w:cs="Times New Roman"/>
          <w:sz w:val="32"/>
          <w:szCs w:val="32"/>
        </w:rPr>
        <w:t>新增</w:t>
      </w:r>
      <w:r>
        <w:rPr>
          <w:rFonts w:hint="eastAsia" w:ascii="Times New Roman" w:hAnsi="Times New Roman" w:eastAsia="仿宋_GB2312" w:cs="Times New Roman"/>
          <w:sz w:val="32"/>
          <w:szCs w:val="32"/>
          <w:lang w:val="en-US" w:eastAsia="zh-CN"/>
        </w:rPr>
        <w:t>资金，年初预算13.56万元为</w:t>
      </w:r>
      <w:r>
        <w:rPr>
          <w:rFonts w:hint="eastAsia" w:ascii="Times New Roman" w:hAnsi="Times New Roman" w:eastAsia="仿宋_GB2312" w:cs="Times New Roman"/>
          <w:sz w:val="32"/>
          <w:szCs w:val="32"/>
        </w:rPr>
        <w:t>上年结转资金。</w:t>
      </w:r>
    </w:p>
    <w:p>
      <w:pPr>
        <w:pStyle w:val="9"/>
        <w:spacing w:after="0" w:line="600" w:lineRule="exact"/>
        <w:ind w:firstLine="640" w:firstLineChars="200"/>
        <w:rPr>
          <w:rFonts w:hint="eastAsia" w:eastAsia="仿宋_GB2312"/>
          <w:sz w:val="32"/>
          <w:szCs w:val="32"/>
        </w:rPr>
      </w:pPr>
      <w:r>
        <w:rPr>
          <w:rFonts w:hint="eastAsia" w:ascii="仿宋" w:hAnsi="仿宋" w:eastAsia="仿宋"/>
          <w:sz w:val="32"/>
          <w:szCs w:val="32"/>
          <w:lang w:val="en-US" w:eastAsia="zh-CN"/>
        </w:rPr>
        <w:t>3.</w:t>
      </w:r>
      <w:r>
        <w:rPr>
          <w:rFonts w:hint="eastAsia" w:eastAsia="仿宋_GB2312"/>
          <w:sz w:val="32"/>
          <w:szCs w:val="32"/>
        </w:rPr>
        <w:t>行政事业单位医疗</w:t>
      </w:r>
      <w:r>
        <w:rPr>
          <w:rFonts w:eastAsia="仿宋_GB2312"/>
          <w:sz w:val="32"/>
          <w:szCs w:val="32"/>
        </w:rPr>
        <w:t>（款）</w:t>
      </w:r>
      <w:r>
        <w:rPr>
          <w:rFonts w:hint="eastAsia" w:eastAsia="仿宋_GB2312"/>
          <w:sz w:val="32"/>
          <w:szCs w:val="32"/>
        </w:rPr>
        <w:t>事业单位医疗</w:t>
      </w:r>
      <w:r>
        <w:rPr>
          <w:rFonts w:eastAsia="仿宋_GB2312"/>
          <w:sz w:val="32"/>
          <w:szCs w:val="32"/>
        </w:rPr>
        <w:t>（项）。年初预算</w:t>
      </w:r>
      <w:r>
        <w:rPr>
          <w:rFonts w:eastAsia="仿宋_GB2312"/>
          <w:sz w:val="32"/>
          <w:szCs w:val="32"/>
          <w:u w:val="single"/>
        </w:rPr>
        <w:t xml:space="preserve"> </w:t>
      </w:r>
      <w:r>
        <w:rPr>
          <w:rFonts w:hint="eastAsia" w:eastAsia="仿宋_GB2312"/>
          <w:sz w:val="32"/>
          <w:szCs w:val="32"/>
          <w:u w:val="single"/>
          <w:lang w:val="en-US" w:eastAsia="zh-CN"/>
        </w:rPr>
        <w:t>34.46</w:t>
      </w:r>
      <w:r>
        <w:rPr>
          <w:rFonts w:eastAsia="仿宋_GB2312"/>
          <w:sz w:val="32"/>
          <w:szCs w:val="32"/>
        </w:rPr>
        <w:t>万元，与上年相比</w:t>
      </w:r>
      <w:r>
        <w:rPr>
          <w:rFonts w:hint="eastAsia" w:eastAsia="仿宋_GB2312"/>
          <w:sz w:val="32"/>
          <w:szCs w:val="32"/>
          <w:lang w:val="en-US" w:eastAsia="zh-CN"/>
        </w:rPr>
        <w:t>减少</w:t>
      </w:r>
      <w:r>
        <w:rPr>
          <w:rFonts w:eastAsia="仿宋_GB2312"/>
          <w:sz w:val="32"/>
          <w:szCs w:val="32"/>
          <w:u w:val="single"/>
        </w:rPr>
        <w:t xml:space="preserve"> </w:t>
      </w:r>
      <w:r>
        <w:rPr>
          <w:rFonts w:hint="eastAsia" w:eastAsia="仿宋_GB2312"/>
          <w:sz w:val="32"/>
          <w:szCs w:val="32"/>
          <w:u w:val="single"/>
          <w:lang w:val="en-US" w:eastAsia="zh-CN"/>
        </w:rPr>
        <w:t>20.02</w:t>
      </w:r>
      <w:r>
        <w:rPr>
          <w:rFonts w:eastAsia="仿宋_GB2312"/>
          <w:sz w:val="32"/>
          <w:szCs w:val="32"/>
        </w:rPr>
        <w:t>万元，</w:t>
      </w:r>
      <w:r>
        <w:rPr>
          <w:rFonts w:hint="eastAsia" w:eastAsia="仿宋_GB2312"/>
          <w:sz w:val="32"/>
          <w:szCs w:val="32"/>
          <w:lang w:val="en-US" w:eastAsia="zh-CN"/>
        </w:rPr>
        <w:t>减少</w:t>
      </w:r>
      <w:r>
        <w:rPr>
          <w:rFonts w:eastAsia="仿宋_GB2312"/>
          <w:sz w:val="32"/>
          <w:szCs w:val="32"/>
          <w:u w:val="single"/>
        </w:rPr>
        <w:t xml:space="preserve"> </w:t>
      </w:r>
      <w:r>
        <w:rPr>
          <w:rFonts w:hint="eastAsia" w:eastAsia="仿宋_GB2312"/>
          <w:sz w:val="32"/>
          <w:szCs w:val="32"/>
          <w:u w:val="single"/>
          <w:lang w:val="en-US" w:eastAsia="zh-CN"/>
        </w:rPr>
        <w:t>36.75</w:t>
      </w:r>
      <w:r>
        <w:rPr>
          <w:rFonts w:eastAsia="仿宋_GB2312"/>
          <w:sz w:val="32"/>
          <w:szCs w:val="32"/>
          <w:u w:val="single"/>
        </w:rPr>
        <w:t xml:space="preserve">  </w:t>
      </w:r>
      <w:r>
        <w:rPr>
          <w:rFonts w:eastAsia="仿宋_GB2312"/>
          <w:sz w:val="32"/>
          <w:szCs w:val="32"/>
        </w:rPr>
        <w:t>%。变动原因</w:t>
      </w:r>
      <w:r>
        <w:rPr>
          <w:rFonts w:hint="eastAsia" w:eastAsia="仿宋_GB2312"/>
          <w:sz w:val="32"/>
          <w:szCs w:val="32"/>
          <w:lang w:val="en-US" w:eastAsia="zh-CN"/>
        </w:rPr>
        <w:t>上年度退休人员公务员医疗补助资金在此项目体现</w:t>
      </w:r>
      <w:r>
        <w:rPr>
          <w:rFonts w:hint="eastAsia" w:eastAsia="仿宋_GB2312"/>
          <w:sz w:val="32"/>
          <w:szCs w:val="32"/>
        </w:rPr>
        <w:t>。</w:t>
      </w:r>
    </w:p>
    <w:p>
      <w:pPr>
        <w:pStyle w:val="9"/>
        <w:spacing w:after="0" w:line="600" w:lineRule="exact"/>
        <w:ind w:firstLine="640" w:firstLineChars="200"/>
        <w:rPr>
          <w:rFonts w:hint="eastAsia" w:eastAsia="仿宋_GB2312"/>
          <w:color w:val="auto"/>
          <w:sz w:val="32"/>
          <w:szCs w:val="32"/>
          <w:highlight w:val="none"/>
        </w:rPr>
      </w:pPr>
      <w:r>
        <w:rPr>
          <w:rFonts w:hint="eastAsia" w:eastAsia="仿宋_GB2312"/>
          <w:sz w:val="32"/>
          <w:szCs w:val="32"/>
          <w:lang w:val="en-US" w:eastAsia="zh-CN"/>
        </w:rPr>
        <w:t>4.</w:t>
      </w:r>
      <w:r>
        <w:rPr>
          <w:rFonts w:hint="eastAsia" w:eastAsia="仿宋_GB2312"/>
          <w:sz w:val="32"/>
          <w:szCs w:val="32"/>
        </w:rPr>
        <w:t>行政事业单位医疗</w:t>
      </w:r>
      <w:r>
        <w:rPr>
          <w:rFonts w:eastAsia="仿宋_GB2312"/>
          <w:sz w:val="32"/>
          <w:szCs w:val="32"/>
        </w:rPr>
        <w:t>（款）</w:t>
      </w:r>
      <w:r>
        <w:rPr>
          <w:rFonts w:hint="eastAsia" w:eastAsia="仿宋_GB2312"/>
          <w:sz w:val="32"/>
          <w:szCs w:val="32"/>
        </w:rPr>
        <w:t>公务员医疗补助</w:t>
      </w:r>
      <w:r>
        <w:rPr>
          <w:rFonts w:eastAsia="仿宋_GB2312"/>
          <w:sz w:val="32"/>
          <w:szCs w:val="32"/>
        </w:rPr>
        <w:t>（项）。年初预算</w:t>
      </w:r>
      <w:r>
        <w:rPr>
          <w:rFonts w:eastAsia="仿宋_GB2312"/>
          <w:sz w:val="32"/>
          <w:szCs w:val="32"/>
          <w:u w:val="single"/>
        </w:rPr>
        <w:t xml:space="preserve"> </w:t>
      </w:r>
      <w:r>
        <w:rPr>
          <w:rFonts w:hint="eastAsia" w:eastAsia="仿宋_GB2312"/>
          <w:sz w:val="32"/>
          <w:szCs w:val="32"/>
          <w:u w:val="single"/>
          <w:lang w:val="en-US" w:eastAsia="zh-CN"/>
        </w:rPr>
        <w:t>8.49</w:t>
      </w:r>
      <w:r>
        <w:rPr>
          <w:rFonts w:eastAsia="仿宋_GB2312"/>
          <w:sz w:val="32"/>
          <w:szCs w:val="32"/>
        </w:rPr>
        <w:t>万元，与上年相比</w:t>
      </w:r>
      <w:r>
        <w:rPr>
          <w:rFonts w:hint="eastAsia" w:eastAsia="仿宋_GB2312"/>
          <w:sz w:val="32"/>
          <w:szCs w:val="32"/>
          <w:lang w:val="en-US" w:eastAsia="zh-CN"/>
        </w:rPr>
        <w:t>增加</w:t>
      </w:r>
      <w:r>
        <w:rPr>
          <w:rFonts w:eastAsia="仿宋_GB2312"/>
          <w:sz w:val="32"/>
          <w:szCs w:val="32"/>
          <w:u w:val="single"/>
        </w:rPr>
        <w:t xml:space="preserve"> </w:t>
      </w:r>
      <w:r>
        <w:rPr>
          <w:rFonts w:hint="eastAsia" w:eastAsia="仿宋_GB2312"/>
          <w:sz w:val="32"/>
          <w:szCs w:val="32"/>
          <w:u w:val="single"/>
          <w:lang w:val="en-US" w:eastAsia="zh-CN"/>
        </w:rPr>
        <w:t>3.79</w:t>
      </w:r>
      <w:r>
        <w:rPr>
          <w:rFonts w:eastAsia="仿宋_GB2312"/>
          <w:sz w:val="32"/>
          <w:szCs w:val="32"/>
          <w:u w:val="single"/>
        </w:rPr>
        <w:t xml:space="preserve"> </w:t>
      </w:r>
      <w:r>
        <w:rPr>
          <w:rFonts w:eastAsia="仿宋_GB2312"/>
          <w:sz w:val="32"/>
          <w:szCs w:val="32"/>
        </w:rPr>
        <w:t>万元，</w:t>
      </w:r>
      <w:r>
        <w:rPr>
          <w:rFonts w:hint="eastAsia" w:eastAsia="仿宋_GB2312"/>
          <w:sz w:val="32"/>
          <w:szCs w:val="32"/>
          <w:lang w:val="en-US" w:eastAsia="zh-CN"/>
        </w:rPr>
        <w:t>增加</w:t>
      </w:r>
      <w:r>
        <w:rPr>
          <w:rFonts w:hint="eastAsia" w:eastAsia="仿宋_GB2312"/>
          <w:sz w:val="32"/>
          <w:szCs w:val="32"/>
          <w:u w:val="single"/>
          <w:lang w:val="en-US" w:eastAsia="zh-CN"/>
        </w:rPr>
        <w:t>80.63</w:t>
      </w:r>
      <w:r>
        <w:rPr>
          <w:rFonts w:eastAsia="仿宋_GB2312"/>
          <w:sz w:val="32"/>
          <w:szCs w:val="32"/>
          <w:u w:val="single"/>
        </w:rPr>
        <w:t xml:space="preserve">  </w:t>
      </w:r>
      <w:r>
        <w:rPr>
          <w:rFonts w:eastAsia="仿宋_GB2312"/>
          <w:sz w:val="32"/>
          <w:szCs w:val="32"/>
        </w:rPr>
        <w:t>%。变动原因：</w:t>
      </w:r>
      <w:r>
        <w:rPr>
          <w:rFonts w:hint="eastAsia" w:eastAsia="仿宋_GB2312"/>
          <w:sz w:val="32"/>
          <w:szCs w:val="32"/>
          <w:lang w:val="en-US" w:eastAsia="zh-CN"/>
        </w:rPr>
        <w:t>上年度退休人员公务员医疗补助未在此项目中体现</w:t>
      </w:r>
      <w:r>
        <w:rPr>
          <w:rFonts w:hint="eastAsia" w:eastAsia="仿宋_GB2312"/>
          <w:color w:val="auto"/>
          <w:sz w:val="32"/>
          <w:szCs w:val="32"/>
          <w:highlight w:val="none"/>
        </w:rPr>
        <w:t>。</w:t>
      </w:r>
    </w:p>
    <w:p>
      <w:pPr>
        <w:pStyle w:val="9"/>
        <w:tabs>
          <w:tab w:val="left" w:pos="4275"/>
        </w:tabs>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）住房保障支出（类）</w:t>
      </w:r>
    </w:p>
    <w:p>
      <w:pPr>
        <w:pStyle w:val="9"/>
        <w:spacing w:after="0" w:line="600" w:lineRule="exact"/>
        <w:ind w:firstLine="640" w:firstLineChars="200"/>
        <w:rPr>
          <w:rFonts w:eastAsia="仿宋_GB2312"/>
          <w:sz w:val="32"/>
          <w:szCs w:val="32"/>
        </w:rPr>
      </w:pPr>
      <w:r>
        <w:rPr>
          <w:rFonts w:hint="eastAsia" w:eastAsia="仿宋_GB2312"/>
          <w:sz w:val="32"/>
          <w:szCs w:val="32"/>
        </w:rPr>
        <w:t>1. 住房改革支出</w:t>
      </w:r>
      <w:r>
        <w:rPr>
          <w:rFonts w:eastAsia="仿宋_GB2312"/>
          <w:sz w:val="32"/>
          <w:szCs w:val="32"/>
        </w:rPr>
        <w:t>（款）</w:t>
      </w:r>
      <w:r>
        <w:rPr>
          <w:rFonts w:hint="eastAsia" w:eastAsia="仿宋_GB2312"/>
          <w:sz w:val="32"/>
          <w:szCs w:val="32"/>
        </w:rPr>
        <w:t>住房公积金</w:t>
      </w:r>
      <w:r>
        <w:rPr>
          <w:rFonts w:eastAsia="仿宋_GB2312"/>
          <w:sz w:val="32"/>
          <w:szCs w:val="32"/>
        </w:rPr>
        <w:t>（项）。年初预算</w:t>
      </w:r>
      <w:r>
        <w:rPr>
          <w:rFonts w:eastAsia="仿宋_GB2312"/>
          <w:sz w:val="32"/>
          <w:szCs w:val="32"/>
          <w:u w:val="single"/>
        </w:rPr>
        <w:t xml:space="preserve"> </w:t>
      </w:r>
      <w:r>
        <w:rPr>
          <w:rFonts w:hint="eastAsia" w:eastAsia="仿宋_GB2312"/>
          <w:sz w:val="32"/>
          <w:szCs w:val="32"/>
          <w:u w:val="single"/>
          <w:lang w:val="en-US" w:eastAsia="zh-CN"/>
        </w:rPr>
        <w:t>88.06</w:t>
      </w:r>
      <w:r>
        <w:rPr>
          <w:rFonts w:eastAsia="仿宋_GB2312"/>
          <w:sz w:val="32"/>
          <w:szCs w:val="32"/>
        </w:rPr>
        <w:t>万元，与上年相比增加</w:t>
      </w:r>
      <w:r>
        <w:rPr>
          <w:rFonts w:eastAsia="仿宋_GB2312"/>
          <w:sz w:val="32"/>
          <w:szCs w:val="32"/>
          <w:u w:val="single"/>
        </w:rPr>
        <w:t xml:space="preserve"> </w:t>
      </w:r>
      <w:r>
        <w:rPr>
          <w:rFonts w:hint="eastAsia" w:eastAsia="仿宋_GB2312"/>
          <w:sz w:val="32"/>
          <w:szCs w:val="32"/>
          <w:u w:val="single"/>
          <w:lang w:val="en-US" w:eastAsia="zh-CN"/>
        </w:rPr>
        <w:t>11.14</w:t>
      </w:r>
      <w:r>
        <w:rPr>
          <w:rFonts w:eastAsia="仿宋_GB2312"/>
          <w:sz w:val="32"/>
          <w:szCs w:val="32"/>
        </w:rPr>
        <w:t>万元，增长</w:t>
      </w:r>
      <w:r>
        <w:rPr>
          <w:rFonts w:eastAsia="仿宋_GB2312"/>
          <w:sz w:val="32"/>
          <w:szCs w:val="32"/>
          <w:u w:val="single"/>
        </w:rPr>
        <w:t xml:space="preserve"> </w:t>
      </w:r>
      <w:r>
        <w:rPr>
          <w:rFonts w:hint="eastAsia" w:eastAsia="仿宋_GB2312"/>
          <w:sz w:val="32"/>
          <w:szCs w:val="32"/>
          <w:u w:val="single"/>
          <w:lang w:val="en-US" w:eastAsia="zh-CN"/>
        </w:rPr>
        <w:t>14.48</w:t>
      </w:r>
      <w:r>
        <w:rPr>
          <w:rFonts w:eastAsia="仿宋_GB2312"/>
          <w:sz w:val="32"/>
          <w:szCs w:val="32"/>
          <w:u w:val="single"/>
        </w:rPr>
        <w:t xml:space="preserve">  </w:t>
      </w:r>
      <w:r>
        <w:rPr>
          <w:rFonts w:eastAsia="仿宋_GB2312"/>
          <w:sz w:val="32"/>
          <w:szCs w:val="32"/>
        </w:rPr>
        <w:t>%。变动原因：</w:t>
      </w:r>
      <w:r>
        <w:rPr>
          <w:rFonts w:hint="eastAsia" w:eastAsia="仿宋_GB2312"/>
          <w:sz w:val="32"/>
          <w:szCs w:val="32"/>
        </w:rPr>
        <w:t>公积金基数</w:t>
      </w:r>
      <w:r>
        <w:rPr>
          <w:rFonts w:hint="eastAsia" w:eastAsia="仿宋_GB2312"/>
          <w:sz w:val="32"/>
          <w:szCs w:val="32"/>
          <w:lang w:val="en-US" w:eastAsia="zh-CN"/>
        </w:rPr>
        <w:t>变动</w:t>
      </w:r>
      <w:r>
        <w:rPr>
          <w:rFonts w:hint="eastAsia" w:eastAsia="仿宋_GB2312"/>
          <w:sz w:val="32"/>
          <w:szCs w:val="32"/>
        </w:rPr>
        <w:t>。</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highlight w:val="none"/>
          <w:lang w:val="en-US" w:eastAsia="zh-CN"/>
        </w:rPr>
      </w:pPr>
      <w:r>
        <w:rPr>
          <w:rFonts w:hint="eastAsia" w:eastAsia="仿宋_GB2312"/>
          <w:sz w:val="32"/>
          <w:szCs w:val="32"/>
          <w:highlight w:val="none"/>
        </w:rPr>
        <w:t>2. 住房改革支出</w:t>
      </w:r>
      <w:r>
        <w:rPr>
          <w:rFonts w:eastAsia="仿宋_GB2312"/>
          <w:sz w:val="32"/>
          <w:szCs w:val="32"/>
          <w:highlight w:val="none"/>
        </w:rPr>
        <w:t>（款）</w:t>
      </w:r>
      <w:r>
        <w:rPr>
          <w:rFonts w:hint="eastAsia" w:eastAsia="仿宋_GB2312"/>
          <w:sz w:val="32"/>
          <w:szCs w:val="32"/>
          <w:highlight w:val="none"/>
        </w:rPr>
        <w:t>购房补贴</w:t>
      </w:r>
      <w:r>
        <w:rPr>
          <w:rFonts w:eastAsia="仿宋_GB2312"/>
          <w:sz w:val="32"/>
          <w:szCs w:val="32"/>
          <w:highlight w:val="none"/>
        </w:rPr>
        <w:t>（项）。年初预算</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22.54</w:t>
      </w:r>
      <w:r>
        <w:rPr>
          <w:rFonts w:eastAsia="仿宋_GB2312"/>
          <w:sz w:val="32"/>
          <w:szCs w:val="32"/>
          <w:highlight w:val="none"/>
        </w:rPr>
        <w:t>万元，与上年相比</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9.17</w:t>
      </w:r>
      <w:r>
        <w:rPr>
          <w:rFonts w:eastAsia="仿宋_GB2312"/>
          <w:sz w:val="32"/>
          <w:szCs w:val="32"/>
          <w:highlight w:val="none"/>
        </w:rPr>
        <w:t>万元，</w:t>
      </w:r>
      <w:r>
        <w:rPr>
          <w:rFonts w:hint="eastAsia" w:eastAsia="仿宋_GB2312"/>
          <w:sz w:val="32"/>
          <w:szCs w:val="32"/>
          <w:highlight w:val="none"/>
          <w:lang w:val="en-US" w:eastAsia="zh-CN"/>
        </w:rPr>
        <w:t>减少</w:t>
      </w:r>
      <w:r>
        <w:rPr>
          <w:rFonts w:eastAsia="仿宋_GB2312"/>
          <w:sz w:val="32"/>
          <w:szCs w:val="32"/>
          <w:highlight w:val="none"/>
          <w:u w:val="single"/>
        </w:rPr>
        <w:t xml:space="preserve"> </w:t>
      </w:r>
      <w:r>
        <w:rPr>
          <w:rFonts w:hint="eastAsia" w:eastAsia="仿宋_GB2312"/>
          <w:sz w:val="32"/>
          <w:szCs w:val="32"/>
          <w:highlight w:val="none"/>
          <w:u w:val="single"/>
          <w:lang w:val="en-US" w:eastAsia="zh-CN"/>
        </w:rPr>
        <w:t>28.91</w:t>
      </w:r>
      <w:r>
        <w:rPr>
          <w:rFonts w:eastAsia="仿宋_GB2312"/>
          <w:sz w:val="32"/>
          <w:szCs w:val="32"/>
          <w:highlight w:val="none"/>
          <w:u w:val="single"/>
        </w:rPr>
        <w:t xml:space="preserve"> </w:t>
      </w:r>
      <w:r>
        <w:rPr>
          <w:rFonts w:eastAsia="仿宋_GB2312"/>
          <w:sz w:val="32"/>
          <w:szCs w:val="32"/>
          <w:highlight w:val="none"/>
        </w:rPr>
        <w:t>%。变动原因：</w:t>
      </w:r>
      <w:r>
        <w:rPr>
          <w:rFonts w:hint="eastAsia" w:eastAsia="仿宋_GB2312" w:cs="Times New Roman"/>
          <w:sz w:val="32"/>
          <w:szCs w:val="32"/>
          <w:highlight w:val="none"/>
          <w:lang w:val="en-US" w:eastAsia="zh-CN"/>
        </w:rPr>
        <w:t>本年度1名在编人员离职。</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val="en-US" w:eastAsia="zh-CN"/>
        </w:rPr>
        <w:t>锡林郭勒盟安神医院2025</w:t>
      </w:r>
      <w:r>
        <w:rPr>
          <w:rFonts w:hint="default" w:ascii="Times New Roman" w:hAnsi="Times New Roman" w:eastAsia="仿宋_GB2312" w:cs="Times New Roman"/>
          <w:sz w:val="32"/>
          <w:szCs w:val="32"/>
        </w:rPr>
        <w:t>年度一般公共预算财政拨款基本支出预算</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1794.46</w:t>
      </w:r>
      <w:r>
        <w:rPr>
          <w:rFonts w:hint="default" w:ascii="Times New Roman" w:hAnsi="Times New Roman" w:eastAsia="仿宋_GB2312" w:cs="Times New Roman"/>
          <w:sz w:val="32"/>
          <w:szCs w:val="32"/>
        </w:rPr>
        <w:t>万元，其中：</w:t>
      </w:r>
    </w:p>
    <w:p>
      <w:pPr>
        <w:pStyle w:val="9"/>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（一）人员经费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val="0"/>
          <w:bCs w:val="0"/>
          <w:sz w:val="32"/>
          <w:szCs w:val="32"/>
          <w:u w:val="single"/>
          <w:lang w:val="en-US" w:eastAsia="zh-CN"/>
        </w:rPr>
        <w:t>1604.79</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。主要包括：基本工资273.88</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、津贴补贴121.4</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、奖金</w:t>
      </w:r>
      <w:r>
        <w:rPr>
          <w:rFonts w:hint="eastAsia" w:eastAsia="仿宋_GB2312" w:cs="Times New Roman"/>
          <w:sz w:val="32"/>
          <w:szCs w:val="32"/>
          <w:lang w:val="en-US" w:eastAsia="zh-CN"/>
        </w:rPr>
        <w:t>69.4万元</w:t>
      </w:r>
      <w:r>
        <w:rPr>
          <w:rFonts w:hint="default" w:ascii="Times New Roman" w:hAnsi="Times New Roman" w:eastAsia="仿宋_GB2312" w:cs="Times New Roman"/>
          <w:sz w:val="32"/>
          <w:szCs w:val="32"/>
        </w:rPr>
        <w:t>、绩效工资214.79</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、机关事业单位基本养老保险缴费</w:t>
      </w:r>
      <w:r>
        <w:rPr>
          <w:rFonts w:hint="eastAsia" w:eastAsia="仿宋_GB2312" w:cs="Times New Roman"/>
          <w:sz w:val="32"/>
          <w:szCs w:val="32"/>
          <w:lang w:val="en-US" w:eastAsia="zh-CN"/>
        </w:rPr>
        <w:t>91.02万元、职工基本医疗保险缴费34.46万元、公务员医疗补助缴费8.49万元、其他社会保障缴费3.98万元、</w:t>
      </w:r>
      <w:r>
        <w:rPr>
          <w:rFonts w:hint="default" w:ascii="Times New Roman" w:hAnsi="Times New Roman" w:eastAsia="仿宋_GB2312" w:cs="Times New Roman"/>
          <w:sz w:val="32"/>
          <w:szCs w:val="32"/>
        </w:rPr>
        <w:t>住房公积金</w:t>
      </w:r>
      <w:r>
        <w:rPr>
          <w:rFonts w:hint="eastAsia" w:eastAsia="仿宋_GB2312" w:cs="Times New Roman"/>
          <w:sz w:val="32"/>
          <w:szCs w:val="32"/>
          <w:lang w:val="en-US" w:eastAsia="zh-CN"/>
        </w:rPr>
        <w:t>88.06万元</w:t>
      </w:r>
      <w:r>
        <w:rPr>
          <w:rFonts w:hint="default" w:ascii="Times New Roman" w:hAnsi="Times New Roman" w:eastAsia="仿宋_GB2312" w:cs="Times New Roman"/>
          <w:sz w:val="32"/>
          <w:szCs w:val="32"/>
        </w:rPr>
        <w:t>、其他工资福利支出654.36</w:t>
      </w:r>
      <w:r>
        <w:rPr>
          <w:rFonts w:hint="eastAsia" w:eastAsia="仿宋_GB2312" w:cs="Times New Roman"/>
          <w:sz w:val="32"/>
          <w:szCs w:val="32"/>
          <w:lang w:val="en-US" w:eastAsia="zh-CN"/>
        </w:rPr>
        <w:t>万元</w:t>
      </w:r>
      <w:r>
        <w:rPr>
          <w:rFonts w:hint="default" w:ascii="Times New Roman" w:hAnsi="Times New Roman" w:eastAsia="仿宋_GB2312" w:cs="Times New Roman"/>
          <w:sz w:val="32"/>
          <w:szCs w:val="32"/>
        </w:rPr>
        <w:t>、退休费</w:t>
      </w:r>
      <w:r>
        <w:rPr>
          <w:rFonts w:hint="eastAsia" w:eastAsia="仿宋_GB2312" w:cs="Times New Roman"/>
          <w:sz w:val="32"/>
          <w:szCs w:val="32"/>
          <w:lang w:val="en-US" w:eastAsia="zh-CN"/>
        </w:rPr>
        <w:t>33.41万元</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生活补助4.64万元</w:t>
      </w:r>
      <w:r>
        <w:rPr>
          <w:rFonts w:hint="default" w:ascii="Times New Roman" w:hAnsi="Times New Roman" w:eastAsia="仿宋_GB2312" w:cs="Times New Roman"/>
          <w:sz w:val="32"/>
          <w:szCs w:val="32"/>
        </w:rPr>
        <w:t>、其他对个人和家庭的补助</w:t>
      </w:r>
      <w:r>
        <w:rPr>
          <w:rFonts w:hint="eastAsia" w:eastAsia="仿宋_GB2312" w:cs="Times New Roman"/>
          <w:sz w:val="32"/>
          <w:szCs w:val="32"/>
          <w:lang w:val="en-US" w:eastAsia="zh-CN"/>
        </w:rPr>
        <w:t>6.9万元</w:t>
      </w:r>
      <w:r>
        <w:rPr>
          <w:rFonts w:hint="default" w:ascii="Times New Roman" w:hAnsi="Times New Roman" w:eastAsia="仿宋_GB2312" w:cs="Times New Roman"/>
          <w:sz w:val="32"/>
          <w:szCs w:val="32"/>
        </w:rPr>
        <w:t>等。</w:t>
      </w:r>
    </w:p>
    <w:p>
      <w:pPr>
        <w:pStyle w:val="9"/>
        <w:pageBreakBefore w:val="0"/>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default" w:ascii="Times New Roman" w:hAnsi="Times New Roman" w:eastAsia="仿宋_GB2312" w:cs="Times New Roman"/>
          <w:b/>
          <w:bCs/>
          <w:sz w:val="32"/>
          <w:szCs w:val="32"/>
          <w:u w:val="single"/>
        </w:rPr>
        <w:t xml:space="preserve"> </w:t>
      </w:r>
      <w:r>
        <w:rPr>
          <w:rFonts w:hint="eastAsia" w:eastAsia="仿宋_GB2312" w:cs="Times New Roman"/>
          <w:b/>
          <w:bCs/>
          <w:sz w:val="32"/>
          <w:szCs w:val="32"/>
          <w:u w:val="single"/>
          <w:lang w:val="en-US" w:eastAsia="zh-CN"/>
        </w:rPr>
        <w:t>189.67</w:t>
      </w:r>
      <w:r>
        <w:rPr>
          <w:rFonts w:hint="default" w:ascii="Times New Roman" w:hAnsi="Times New Roman" w:eastAsia="仿宋_GB2312" w:cs="Times New Roman"/>
          <w:b/>
          <w:bCs/>
          <w:sz w:val="32"/>
          <w:szCs w:val="32"/>
          <w:u w:val="single"/>
        </w:rPr>
        <w:t xml:space="preserve"> </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。主要包括：电费</w:t>
      </w:r>
      <w:r>
        <w:rPr>
          <w:rFonts w:hint="eastAsia" w:ascii="Times New Roman" w:hAnsi="Times New Roman" w:eastAsia="仿宋_GB2312" w:cs="Times New Roman"/>
          <w:sz w:val="32"/>
          <w:szCs w:val="32"/>
          <w:lang w:val="en-US" w:eastAsia="zh-CN"/>
        </w:rPr>
        <w:t>64.84万元</w:t>
      </w:r>
      <w:r>
        <w:rPr>
          <w:rFonts w:hint="default" w:ascii="Times New Roman" w:hAnsi="Times New Roman" w:eastAsia="仿宋_GB2312" w:cs="Times New Roman"/>
          <w:sz w:val="32"/>
          <w:szCs w:val="32"/>
        </w:rPr>
        <w:t>、邮电费</w:t>
      </w:r>
      <w:r>
        <w:rPr>
          <w:rFonts w:hint="eastAsia" w:eastAsia="仿宋_GB2312" w:cs="Times New Roman"/>
          <w:sz w:val="32"/>
          <w:szCs w:val="32"/>
          <w:lang w:val="en-US" w:eastAsia="zh-CN"/>
        </w:rPr>
        <w:t>1万元</w:t>
      </w:r>
      <w:r>
        <w:rPr>
          <w:rFonts w:hint="default" w:ascii="Times New Roman" w:hAnsi="Times New Roman" w:eastAsia="仿宋_GB2312" w:cs="Times New Roman"/>
          <w:sz w:val="32"/>
          <w:szCs w:val="32"/>
        </w:rPr>
        <w:t>、取暖费</w:t>
      </w:r>
      <w:r>
        <w:rPr>
          <w:rFonts w:hint="eastAsia" w:eastAsia="仿宋_GB2312" w:cs="Times New Roman"/>
          <w:sz w:val="32"/>
          <w:szCs w:val="32"/>
          <w:lang w:val="en-US" w:eastAsia="zh-CN"/>
        </w:rPr>
        <w:t>87.96万元</w:t>
      </w:r>
      <w:r>
        <w:rPr>
          <w:rFonts w:hint="default" w:ascii="Times New Roman" w:hAnsi="Times New Roman" w:eastAsia="仿宋_GB2312" w:cs="Times New Roman"/>
          <w:sz w:val="32"/>
          <w:szCs w:val="32"/>
        </w:rPr>
        <w:t>、工会经费</w:t>
      </w:r>
      <w:r>
        <w:rPr>
          <w:rFonts w:hint="eastAsia" w:eastAsia="仿宋_GB2312" w:cs="Times New Roman"/>
          <w:sz w:val="32"/>
          <w:szCs w:val="32"/>
          <w:lang w:val="en-US" w:eastAsia="zh-CN"/>
        </w:rPr>
        <w:t>14.68万元</w:t>
      </w:r>
      <w:r>
        <w:rPr>
          <w:rFonts w:hint="default" w:ascii="Times New Roman" w:hAnsi="Times New Roman" w:eastAsia="仿宋_GB2312" w:cs="Times New Roman"/>
          <w:sz w:val="32"/>
          <w:szCs w:val="32"/>
        </w:rPr>
        <w:t>、福利费</w:t>
      </w:r>
      <w:r>
        <w:rPr>
          <w:rFonts w:hint="eastAsia" w:eastAsia="仿宋_GB2312" w:cs="Times New Roman"/>
          <w:sz w:val="32"/>
          <w:szCs w:val="32"/>
          <w:lang w:val="en-US" w:eastAsia="zh-CN"/>
        </w:rPr>
        <w:t>19.19万元</w:t>
      </w:r>
      <w:r>
        <w:rPr>
          <w:rFonts w:hint="default" w:ascii="Times New Roman" w:hAnsi="Times New Roman" w:eastAsia="仿宋_GB2312" w:cs="Times New Roman"/>
          <w:sz w:val="32"/>
          <w:szCs w:val="32"/>
        </w:rPr>
        <w:t>、公务用车运行维护费</w:t>
      </w:r>
      <w:r>
        <w:rPr>
          <w:rFonts w:hint="eastAsia" w:eastAsia="仿宋_GB2312" w:cs="Times New Roman"/>
          <w:sz w:val="32"/>
          <w:szCs w:val="32"/>
          <w:lang w:val="en-US" w:eastAsia="zh-CN"/>
        </w:rPr>
        <w:t>2万元</w:t>
      </w:r>
      <w:r>
        <w:rPr>
          <w:rFonts w:hint="default" w:ascii="Times New Roman" w:hAnsi="Times New Roman" w:eastAsia="仿宋_GB2312" w:cs="Times New Roman"/>
          <w:sz w:val="32"/>
          <w:szCs w:val="32"/>
        </w:rPr>
        <w:t>等。</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u w:val="single"/>
          <w:lang w:val="en-US" w:eastAsia="zh-CN"/>
        </w:rPr>
        <w:t>锡林郭勒盟安神医院2025</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rPr>
        <w:t>万元，其中因公出国（境）费支出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55"/>
          <w:sz w:val="32"/>
          <w:szCs w:val="32"/>
        </w:rPr>
        <w:t xml:space="preserve"> </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算增加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pacing w:val="-6"/>
          <w:sz w:val="32"/>
          <w:szCs w:val="32"/>
        </w:rPr>
        <w:t>万元，</w:t>
      </w:r>
      <w:r>
        <w:rPr>
          <w:rFonts w:hint="default" w:ascii="Times New Roman" w:hAnsi="Times New Roman" w:eastAsia="仿宋_GB2312" w:cs="Times New Roman"/>
          <w:sz w:val="32"/>
          <w:szCs w:val="32"/>
        </w:rPr>
        <w:t>增长</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9"/>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sz w:val="32"/>
          <w:szCs w:val="32"/>
          <w:lang w:val="en-US" w:eastAsia="zh-CN"/>
        </w:rPr>
        <w:t>不存在此项内容。</w:t>
      </w:r>
    </w:p>
    <w:p>
      <w:pPr>
        <w:pStyle w:val="9"/>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sz w:val="32"/>
          <w:szCs w:val="32"/>
          <w:lang w:val="en-US" w:eastAsia="zh-CN"/>
        </w:rPr>
        <w:t>不存在此项内容。</w:t>
      </w:r>
      <w:r>
        <w:rPr>
          <w:rFonts w:hint="default" w:ascii="Times New Roman" w:hAnsi="Times New Roman" w:eastAsia="仿宋_GB2312" w:cs="Times New Roman"/>
          <w:sz w:val="32"/>
          <w:szCs w:val="32"/>
        </w:rPr>
        <w:t>。</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万元，主要原因</w:t>
      </w:r>
      <w:r>
        <w:rPr>
          <w:rFonts w:hint="eastAsia" w:eastAsia="仿宋_GB2312" w:cs="Times New Roman"/>
          <w:sz w:val="32"/>
          <w:szCs w:val="32"/>
          <w:lang w:val="en-US" w:eastAsia="zh-CN"/>
        </w:rPr>
        <w:t>较上年无变化</w:t>
      </w:r>
      <w:r>
        <w:rPr>
          <w:rFonts w:hint="default" w:ascii="Times New Roman" w:hAnsi="Times New Roman" w:eastAsia="仿宋_GB2312" w:cs="Times New Roman"/>
          <w:sz w:val="32"/>
          <w:szCs w:val="32"/>
        </w:rPr>
        <w:t>。</w:t>
      </w:r>
    </w:p>
    <w:p>
      <w:pPr>
        <w:pStyle w:val="9"/>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万元，比上年预算增加</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万元，主要原因</w:t>
      </w:r>
      <w:r>
        <w:rPr>
          <w:rFonts w:hint="eastAsia" w:eastAsia="仿宋_GB2312"/>
          <w:sz w:val="32"/>
          <w:szCs w:val="32"/>
          <w:lang w:val="en-US" w:eastAsia="zh-CN"/>
        </w:rPr>
        <w:t>不存在此项内容</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pPr>
        <w:pStyle w:val="9"/>
        <w:spacing w:after="0" w:line="600" w:lineRule="exact"/>
        <w:ind w:firstLine="640" w:firstLineChars="200"/>
        <w:rPr>
          <w:rFonts w:hint="eastAsia" w:ascii="Times New Roman" w:hAnsi="Times New Roman" w:eastAsia="仿宋_GB2312" w:cs="Times New Roman"/>
          <w:sz w:val="32"/>
          <w:szCs w:val="32"/>
          <w:lang w:eastAsia="zh-CN"/>
        </w:rPr>
      </w:pPr>
      <w:r>
        <w:rPr>
          <w:rFonts w:hint="eastAsia" w:eastAsia="仿宋_GB2312" w:cs="Times New Roman"/>
          <w:sz w:val="32"/>
          <w:szCs w:val="32"/>
          <w:u w:val="single"/>
          <w:lang w:val="en-US" w:eastAsia="zh-CN"/>
        </w:rPr>
        <w:t>锡林郭勒盟安神医院</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年政府性基金支出预算支出</w:t>
      </w:r>
      <w:r>
        <w:rPr>
          <w:rFonts w:hint="eastAsia" w:ascii="Times New Roman" w:hAnsi="Times New Roman"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w:t>
      </w:r>
      <w:r>
        <w:rPr>
          <w:rFonts w:hint="eastAsia" w:eastAsia="仿宋_GB2312" w:cs="Times New Roman"/>
          <w:sz w:val="32"/>
          <w:szCs w:val="32"/>
          <w:lang w:val="en-US" w:eastAsia="zh-CN"/>
        </w:rPr>
        <w:t>减少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163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eastAsia" w:eastAsia="仿宋_GB2312" w:cs="Times New Roman"/>
          <w:sz w:val="32"/>
          <w:szCs w:val="32"/>
          <w:lang w:val="en-US" w:eastAsia="zh-CN"/>
        </w:rPr>
        <w:t>减少</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本年度本年无政府性基金预算拨款支出</w:t>
      </w:r>
      <w:r>
        <w:rPr>
          <w:rFonts w:hint="eastAsia" w:ascii="Times New Roman" w:hAnsi="Times New Roman" w:eastAsia="仿宋_GB2312" w:cs="Times New Roman"/>
          <w:sz w:val="32"/>
          <w:szCs w:val="32"/>
          <w:lang w:eastAsia="zh-CN"/>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rPr>
          <w:rFonts w:eastAsia="仿宋_GB2312" w:cstheme="minorBidi"/>
          <w:sz w:val="32"/>
          <w:szCs w:val="32"/>
          <w:highlight w:val="yellow"/>
        </w:rPr>
      </w:pPr>
      <w:r>
        <w:rPr>
          <w:rFonts w:hint="eastAsia" w:eastAsia="仿宋_GB2312" w:cs="Times New Roman"/>
          <w:sz w:val="32"/>
          <w:szCs w:val="32"/>
          <w:u w:val="single"/>
          <w:lang w:val="en-US" w:eastAsia="zh-CN"/>
        </w:rPr>
        <w:t>锡林郭勒盟安神医院</w:t>
      </w:r>
      <w:r>
        <w:rPr>
          <w:rFonts w:hint="eastAsia" w:eastAsia="仿宋_GB2312" w:cs="Times New Roman"/>
          <w:sz w:val="32"/>
          <w:szCs w:val="32"/>
          <w:lang w:val="en-US" w:eastAsia="zh-CN"/>
        </w:rPr>
        <w:t>2025</w:t>
      </w:r>
      <w:r>
        <w:rPr>
          <w:rFonts w:hint="eastAsia" w:eastAsia="仿宋_GB2312" w:cstheme="minorBidi"/>
          <w:sz w:val="32"/>
          <w:szCs w:val="32"/>
        </w:rPr>
        <w:t>年国有资本经营预算支出</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rPr>
        <w:t>万元。与上年相比增加</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万元，增长</w:t>
      </w:r>
      <w:r>
        <w:rPr>
          <w:rFonts w:hint="eastAsia" w:eastAsia="仿宋_GB2312" w:cstheme="minorBidi"/>
          <w:sz w:val="32"/>
          <w:szCs w:val="32"/>
          <w:u w:val="single"/>
        </w:rPr>
        <w:tab/>
      </w:r>
      <w:r>
        <w:rPr>
          <w:rFonts w:hint="eastAsia" w:eastAsia="仿宋_GB2312" w:cstheme="minorBidi"/>
          <w:sz w:val="32"/>
          <w:szCs w:val="32"/>
          <w:u w:val="single"/>
          <w:lang w:val="en-US" w:eastAsia="zh-CN"/>
        </w:rPr>
        <w:t>0</w:t>
      </w:r>
      <w:r>
        <w:rPr>
          <w:rFonts w:hint="eastAsia" w:eastAsia="仿宋_GB2312" w:cstheme="minorBidi"/>
          <w:sz w:val="32"/>
          <w:szCs w:val="32"/>
          <w:u w:val="single"/>
        </w:rPr>
        <w:t xml:space="preserve"> </w:t>
      </w:r>
      <w:r>
        <w:rPr>
          <w:rFonts w:hint="eastAsia" w:eastAsia="仿宋_GB2312" w:cstheme="minorBidi"/>
          <w:sz w:val="32"/>
          <w:szCs w:val="32"/>
        </w:rPr>
        <w:t>%。主要原因是本年无国有资本经营预算拨款支出</w:t>
      </w:r>
      <w:r>
        <w:rPr>
          <w:rFonts w:hint="eastAsia" w:ascii="Times New Roman" w:hAnsi="Times New Roman" w:eastAsia="仿宋_GB2312" w:cs="Times New Roman"/>
          <w:sz w:val="32"/>
          <w:szCs w:val="32"/>
          <w:lang w:eastAsia="zh-CN"/>
        </w:rPr>
        <w:t>。</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val="en-US" w:eastAsia="zh-CN"/>
        </w:rPr>
        <w:t>锡林郭勒盟安神医院</w:t>
      </w:r>
      <w:r>
        <w:rPr>
          <w:rFonts w:hint="eastAsia" w:eastAsia="仿宋_GB2312" w:cs="Times New Roman"/>
          <w:sz w:val="32"/>
          <w:szCs w:val="32"/>
          <w:lang w:val="en-US" w:eastAsia="zh-CN"/>
        </w:rPr>
        <w:t>2025年</w:t>
      </w:r>
      <w:r>
        <w:rPr>
          <w:rFonts w:hint="default" w:ascii="Times New Roman" w:hAnsi="Times New Roman" w:eastAsia="仿宋_GB2312" w:cs="Times New Roman"/>
          <w:sz w:val="32"/>
          <w:szCs w:val="32"/>
        </w:rPr>
        <w:t>预算安排项目</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个，项目预算总金额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48.56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万元，财政拨款结转结余</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18.56</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万元，单位资金</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（一）</w:t>
      </w:r>
      <w:r>
        <w:rPr>
          <w:rFonts w:hint="default" w:ascii="Times New Roman" w:hAnsi="Times New Roman" w:eastAsia="仿宋_GB2312" w:cs="Times New Roman"/>
          <w:bCs/>
          <w:color w:val="auto"/>
          <w:sz w:val="32"/>
          <w:szCs w:val="32"/>
        </w:rPr>
        <w:t>精神卫生疾病防治</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本项目主要</w:t>
      </w:r>
      <w:r>
        <w:rPr>
          <w:rFonts w:hint="eastAsia" w:ascii="Times New Roman" w:hAnsi="Times New Roman" w:eastAsia="仿宋_GB2312" w:cs="Times New Roman"/>
          <w:bCs/>
          <w:color w:val="auto"/>
          <w:sz w:val="32"/>
          <w:szCs w:val="32"/>
          <w:lang w:val="en-US" w:eastAsia="zh-CN"/>
        </w:rPr>
        <w:t>开展</w:t>
      </w:r>
      <w:r>
        <w:rPr>
          <w:rFonts w:hint="eastAsia" w:eastAsia="仿宋_GB2312" w:cs="Times New Roman"/>
          <w:bCs/>
          <w:color w:val="auto"/>
          <w:sz w:val="32"/>
          <w:szCs w:val="32"/>
          <w:lang w:val="en-US" w:eastAsia="zh-CN"/>
        </w:rPr>
        <w:t>病历筛查诊断、贫困患者治疗补助、项目数据质控、项目技术指导及社会培训、精神心理科普宣传等。</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为提高百姓对心理健康的重视程度，申请此项目</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锡林郭勒盟安神医院</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根据财政批复</w:t>
      </w:r>
      <w:r>
        <w:rPr>
          <w:rFonts w:hint="eastAsia" w:ascii="Times New Roman" w:hAnsi="Times New Roman" w:eastAsia="仿宋_GB2312" w:cs="Times New Roman"/>
          <w:bCs/>
          <w:color w:val="auto"/>
          <w:sz w:val="32"/>
          <w:szCs w:val="32"/>
          <w:lang w:val="en-US" w:eastAsia="zh-CN"/>
        </w:rPr>
        <w:t>经费</w:t>
      </w:r>
      <w:r>
        <w:rPr>
          <w:rFonts w:hint="eastAsia" w:eastAsia="仿宋_GB2312" w:cs="Times New Roman"/>
          <w:bCs/>
          <w:color w:val="auto"/>
          <w:sz w:val="32"/>
          <w:szCs w:val="32"/>
          <w:lang w:val="en-US" w:eastAsia="zh-CN"/>
        </w:rPr>
        <w:t>进行病历筛查诊断、贫困患者治疗补助</w:t>
      </w:r>
      <w:r>
        <w:rPr>
          <w:rFonts w:hint="eastAsia" w:ascii="Times New Roman" w:hAnsi="Times New Roman" w:eastAsia="仿宋_GB2312" w:cs="Times New Roman"/>
          <w:bCs/>
          <w:color w:val="auto"/>
          <w:sz w:val="32"/>
          <w:szCs w:val="32"/>
          <w:lang w:val="en-US" w:eastAsia="zh-CN"/>
        </w:rPr>
        <w:t>活动</w:t>
      </w:r>
      <w:r>
        <w:rPr>
          <w:rFonts w:hint="default" w:ascii="Times New Roman" w:hAnsi="Times New Roman" w:eastAsia="仿宋_GB2312" w:cs="Times New Roman"/>
          <w:bCs/>
          <w:color w:val="auto"/>
          <w:sz w:val="32"/>
          <w:szCs w:val="32"/>
        </w:rPr>
        <w:t xml:space="preserve">。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2.39万</w:t>
      </w:r>
      <w:r>
        <w:rPr>
          <w:rFonts w:hint="default" w:ascii="Times New Roman" w:hAnsi="Times New Roman" w:eastAsia="仿宋_GB2312" w:cs="Times New Roman"/>
          <w:bCs/>
          <w:color w:val="auto"/>
          <w:sz w:val="32"/>
          <w:szCs w:val="32"/>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eastAsia="zh-CN"/>
        </w:rPr>
        <w:t>（二）精神卫生疾病防治 内财社【2024】899号</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eastAsia"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本项目主要</w:t>
      </w:r>
      <w:r>
        <w:rPr>
          <w:rFonts w:hint="eastAsia" w:eastAsia="仿宋_GB2312" w:cs="Times New Roman"/>
          <w:bCs/>
          <w:color w:val="auto"/>
          <w:sz w:val="32"/>
          <w:szCs w:val="32"/>
          <w:lang w:val="en-US" w:eastAsia="zh-CN"/>
        </w:rPr>
        <w:t>是进一步落实国家级自治区精神障碍管理治疗工作，建立有效预防和控制机制，提高全盟精神障碍管理治疗工作水平。</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根据自治区精神障碍管理治疗工作管理要求，申请此项目</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锡林郭勒盟安神医院</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根据财政批复</w:t>
      </w:r>
      <w:r>
        <w:rPr>
          <w:rFonts w:hint="eastAsia" w:ascii="Times New Roman" w:hAnsi="Times New Roman" w:eastAsia="仿宋_GB2312" w:cs="Times New Roman"/>
          <w:bCs/>
          <w:color w:val="auto"/>
          <w:sz w:val="32"/>
          <w:szCs w:val="32"/>
          <w:lang w:val="en-US" w:eastAsia="zh-CN"/>
        </w:rPr>
        <w:t>经费</w:t>
      </w:r>
      <w:r>
        <w:rPr>
          <w:rFonts w:hint="eastAsia" w:eastAsia="仿宋_GB2312" w:cs="Times New Roman"/>
          <w:bCs/>
          <w:color w:val="auto"/>
          <w:sz w:val="32"/>
          <w:szCs w:val="32"/>
          <w:lang w:val="en-US" w:eastAsia="zh-CN"/>
        </w:rPr>
        <w:t>进行贫困患者免费赠药、病人家属护理教育等工作</w:t>
      </w:r>
      <w:r>
        <w:rPr>
          <w:rFonts w:hint="default" w:ascii="Times New Roman" w:hAnsi="Times New Roman" w:eastAsia="仿宋_GB2312" w:cs="Times New Roman"/>
          <w:bCs/>
          <w:color w:val="auto"/>
          <w:sz w:val="32"/>
          <w:szCs w:val="32"/>
        </w:rPr>
        <w:t xml:space="preserve">。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eastAsia="zh-CN"/>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11.17万</w:t>
      </w:r>
      <w:r>
        <w:rPr>
          <w:rFonts w:hint="default" w:ascii="Times New Roman" w:hAnsi="Times New Roman" w:eastAsia="仿宋_GB2312" w:cs="Times New Roman"/>
          <w:bCs/>
          <w:color w:val="auto"/>
          <w:sz w:val="32"/>
          <w:szCs w:val="32"/>
        </w:rPr>
        <w:t>元</w:t>
      </w:r>
      <w:r>
        <w:rPr>
          <w:rFonts w:hint="eastAsia" w:eastAsia="仿宋_GB2312" w:cs="Times New Roman"/>
          <w:bCs/>
          <w:color w:val="auto"/>
          <w:sz w:val="32"/>
          <w:szCs w:val="32"/>
          <w:lang w:eastAsia="zh-CN"/>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val="en-US" w:eastAsia="zh-CN"/>
        </w:rPr>
        <w:t>三</w:t>
      </w:r>
      <w:r>
        <w:rPr>
          <w:rFonts w:hint="default" w:ascii="Times New Roman" w:hAnsi="Times New Roman" w:eastAsia="仿宋_GB2312" w:cs="Times New Roman"/>
          <w:bCs/>
          <w:color w:val="auto"/>
          <w:sz w:val="32"/>
          <w:szCs w:val="32"/>
          <w:lang w:eastAsia="zh-CN"/>
        </w:rPr>
        <w:t>）新型蒙古灸联合康复训练治疗孤独症谱系障碍临床研究</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eastAsia"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本项目主要</w:t>
      </w:r>
      <w:r>
        <w:rPr>
          <w:rFonts w:hint="eastAsia" w:eastAsia="仿宋_GB2312" w:cs="Times New Roman"/>
          <w:bCs/>
          <w:color w:val="auto"/>
          <w:sz w:val="32"/>
          <w:szCs w:val="32"/>
          <w:lang w:val="en-US" w:eastAsia="zh-CN"/>
        </w:rPr>
        <w:t>是通过新型蒙古灸联合</w:t>
      </w:r>
      <w:r>
        <w:rPr>
          <w:rFonts w:hint="default" w:ascii="Times New Roman" w:hAnsi="Times New Roman" w:eastAsia="仿宋_GB2312" w:cs="Times New Roman"/>
          <w:bCs/>
          <w:color w:val="auto"/>
          <w:sz w:val="32"/>
          <w:szCs w:val="32"/>
          <w:lang w:eastAsia="zh-CN"/>
        </w:rPr>
        <w:t>康复训练治疗孤独症谱系障碍</w:t>
      </w:r>
      <w:r>
        <w:rPr>
          <w:rFonts w:hint="eastAsia" w:eastAsia="仿宋_GB2312" w:cs="Times New Roman"/>
          <w:bCs/>
          <w:color w:val="auto"/>
          <w:sz w:val="32"/>
          <w:szCs w:val="32"/>
          <w:lang w:val="en-US" w:eastAsia="zh-CN"/>
        </w:rPr>
        <w:t>评价，对新型蒙古灸治疗孤独症</w:t>
      </w:r>
      <w:r>
        <w:rPr>
          <w:rFonts w:hint="default" w:ascii="Times New Roman" w:hAnsi="Times New Roman" w:eastAsia="仿宋_GB2312" w:cs="Times New Roman"/>
          <w:bCs/>
          <w:color w:val="auto"/>
          <w:sz w:val="32"/>
          <w:szCs w:val="32"/>
          <w:lang w:eastAsia="zh-CN"/>
        </w:rPr>
        <w:t>谱系障碍</w:t>
      </w:r>
      <w:r>
        <w:rPr>
          <w:rFonts w:hint="eastAsia" w:eastAsia="仿宋_GB2312" w:cs="Times New Roman"/>
          <w:bCs/>
          <w:color w:val="auto"/>
          <w:sz w:val="32"/>
          <w:szCs w:val="32"/>
          <w:lang w:val="en-US" w:eastAsia="zh-CN"/>
        </w:rPr>
        <w:t>诊疗行为进一步规范形成一致性的标准。</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通过项目实施为临床应用提供科学依据，对该病的治疗方法提供更安全有效的治疗方法，申请此项目。</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锡林郭勒盟安神医院</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rPr>
        <w:t>根据财政批复</w:t>
      </w:r>
      <w:r>
        <w:rPr>
          <w:rFonts w:hint="eastAsia" w:ascii="仿宋" w:hAnsi="仿宋" w:eastAsia="仿宋" w:cs="仿宋"/>
          <w:bCs/>
          <w:color w:val="auto"/>
          <w:sz w:val="32"/>
          <w:szCs w:val="32"/>
          <w:lang w:val="en-US" w:eastAsia="zh-CN"/>
        </w:rPr>
        <w:t>经费进行</w:t>
      </w:r>
      <w:r>
        <w:rPr>
          <w:rFonts w:hint="eastAsia" w:ascii="仿宋" w:hAnsi="仿宋" w:eastAsia="仿宋" w:cs="仿宋"/>
          <w:bCs/>
          <w:color w:val="auto"/>
          <w:sz w:val="32"/>
          <w:szCs w:val="32"/>
          <w:lang w:eastAsia="zh-CN"/>
        </w:rPr>
        <w:t>新型蒙古灸联合康复训练治疗孤独症谱系障碍临床研究</w:t>
      </w:r>
      <w:r>
        <w:rPr>
          <w:rFonts w:hint="eastAsia" w:ascii="仿宋" w:hAnsi="仿宋" w:eastAsia="仿宋" w:cs="仿宋"/>
          <w:bCs/>
          <w:color w:val="auto"/>
          <w:sz w:val="32"/>
          <w:szCs w:val="32"/>
          <w:lang w:val="en-US" w:eastAsia="zh-CN"/>
        </w:rPr>
        <w:t>工作</w:t>
      </w:r>
      <w:r>
        <w:rPr>
          <w:rFonts w:hint="eastAsia" w:ascii="仿宋" w:hAnsi="仿宋" w:eastAsia="仿宋" w:cs="仿宋"/>
          <w:bCs/>
          <w:color w:val="auto"/>
          <w:sz w:val="32"/>
          <w:szCs w:val="32"/>
        </w:rPr>
        <w:t xml:space="preserve">。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5万</w:t>
      </w:r>
      <w:r>
        <w:rPr>
          <w:rFonts w:hint="default" w:ascii="Times New Roman" w:hAnsi="Times New Roman" w:eastAsia="仿宋_GB2312" w:cs="Times New Roman"/>
          <w:bCs/>
          <w:color w:val="auto"/>
          <w:sz w:val="32"/>
          <w:szCs w:val="32"/>
        </w:rPr>
        <w:t>元。</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lang w:eastAsia="zh-CN"/>
        </w:rPr>
      </w:pPr>
      <w:r>
        <w:rPr>
          <w:rFonts w:hint="default" w:ascii="Times New Roman" w:hAnsi="Times New Roman" w:eastAsia="仿宋_GB2312" w:cs="Times New Roman"/>
          <w:bCs/>
          <w:color w:val="auto"/>
          <w:sz w:val="32"/>
          <w:szCs w:val="32"/>
          <w:lang w:eastAsia="zh-CN"/>
        </w:rPr>
        <w:t>（</w:t>
      </w:r>
      <w:r>
        <w:rPr>
          <w:rFonts w:hint="eastAsia" w:eastAsia="仿宋_GB2312" w:cs="Times New Roman"/>
          <w:bCs/>
          <w:color w:val="auto"/>
          <w:sz w:val="32"/>
          <w:szCs w:val="32"/>
          <w:lang w:val="en-US" w:eastAsia="zh-CN"/>
        </w:rPr>
        <w:t>四</w:t>
      </w:r>
      <w:r>
        <w:rPr>
          <w:rFonts w:hint="default" w:ascii="Times New Roman" w:hAnsi="Times New Roman" w:eastAsia="仿宋_GB2312" w:cs="Times New Roman"/>
          <w:bCs/>
          <w:color w:val="auto"/>
          <w:sz w:val="32"/>
          <w:szCs w:val="32"/>
          <w:lang w:eastAsia="zh-CN"/>
        </w:rPr>
        <w:t>）医疗卫生服务骨干队伍培养项目</w:t>
      </w:r>
    </w:p>
    <w:p>
      <w:pPr>
        <w:pageBreakBefore w:val="0"/>
        <w:pBdr>
          <w:bottom w:val="single" w:color="FFFFFF" w:sz="4" w:space="30"/>
        </w:pBdr>
        <w:kinsoku/>
        <w:wordWrap/>
        <w:overflowPunct/>
        <w:topLinePunct w:val="0"/>
        <w:bidi w:val="0"/>
        <w:snapToGrid w:val="0"/>
        <w:spacing w:line="600" w:lineRule="exact"/>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lang w:val="en-US" w:eastAsia="zh-CN"/>
        </w:rPr>
        <w:t xml:space="preserve"> </w:t>
      </w:r>
      <w:r>
        <w:rPr>
          <w:rFonts w:hint="eastAsia" w:eastAsia="仿宋_GB2312" w:cs="Times New Roman"/>
          <w:bCs/>
          <w:color w:val="auto"/>
          <w:sz w:val="32"/>
          <w:szCs w:val="32"/>
          <w:lang w:val="en-US" w:eastAsia="zh-CN"/>
        </w:rPr>
        <w:t xml:space="preserve">   </w:t>
      </w:r>
      <w:r>
        <w:rPr>
          <w:rFonts w:hint="default" w:ascii="Times New Roman" w:hAnsi="Times New Roman" w:eastAsia="仿宋_GB2312" w:cs="Times New Roman"/>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eastAsia="仿宋_GB2312" w:cs="Times New Roman"/>
          <w:bCs/>
          <w:color w:val="auto"/>
          <w:sz w:val="32"/>
          <w:szCs w:val="32"/>
          <w:lang w:val="en-US" w:eastAsia="zh-CN"/>
        </w:rPr>
      </w:pPr>
      <w:r>
        <w:rPr>
          <w:rFonts w:hint="default" w:ascii="Times New Roman" w:hAnsi="Times New Roman" w:eastAsia="仿宋_GB2312" w:cs="Times New Roman"/>
          <w:bCs/>
          <w:color w:val="auto"/>
          <w:sz w:val="32"/>
          <w:szCs w:val="32"/>
        </w:rPr>
        <w:t>本项目主要</w:t>
      </w:r>
      <w:r>
        <w:rPr>
          <w:rFonts w:hint="eastAsia" w:eastAsia="仿宋_GB2312" w:cs="Times New Roman"/>
          <w:bCs/>
          <w:color w:val="auto"/>
          <w:sz w:val="32"/>
          <w:szCs w:val="32"/>
          <w:lang w:val="en-US" w:eastAsia="zh-CN"/>
        </w:rPr>
        <w:t>是对精神科、疼痛科医生进行培训，提升医生诊疗水平，提高患者康复率。</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eastAsia" w:eastAsia="仿宋_GB2312" w:cs="Times New Roman"/>
          <w:bCs/>
          <w:color w:val="auto"/>
          <w:sz w:val="32"/>
          <w:szCs w:val="32"/>
          <w:lang w:val="en-US" w:eastAsia="zh-CN"/>
        </w:rPr>
        <w:t>为提升医院诊疗水平，提高患者康复率，申请此项目</w:t>
      </w:r>
      <w:r>
        <w:rPr>
          <w:rFonts w:hint="default" w:ascii="Times New Roman" w:hAnsi="Times New Roman" w:eastAsia="仿宋_GB2312" w:cs="Times New Roman"/>
          <w:bCs/>
          <w:color w:val="auto"/>
          <w:sz w:val="32"/>
          <w:szCs w:val="32"/>
        </w:rPr>
        <w:t>。</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imes New Roman"/>
          <w:bCs/>
          <w:color w:val="auto"/>
          <w:sz w:val="32"/>
          <w:szCs w:val="32"/>
          <w:lang w:val="en-US" w:eastAsia="zh-CN"/>
        </w:rPr>
      </w:pPr>
      <w:r>
        <w:rPr>
          <w:rFonts w:hint="eastAsia" w:eastAsia="仿宋_GB2312" w:cs="Times New Roman"/>
          <w:bCs/>
          <w:color w:val="auto"/>
          <w:sz w:val="32"/>
          <w:szCs w:val="32"/>
          <w:lang w:val="en-US" w:eastAsia="zh-CN"/>
        </w:rPr>
        <w:t>锡林郭勒盟安神医院</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ascii="仿宋" w:hAnsi="仿宋" w:eastAsia="仿宋" w:cs="仿宋"/>
          <w:bCs/>
          <w:color w:val="auto"/>
          <w:sz w:val="32"/>
          <w:szCs w:val="32"/>
        </w:rPr>
      </w:pPr>
      <w:r>
        <w:rPr>
          <w:rFonts w:hint="default" w:ascii="Times New Roman" w:hAnsi="Times New Roman" w:eastAsia="仿宋_GB2312" w:cs="Times New Roman"/>
          <w:bCs/>
          <w:color w:val="auto"/>
          <w:sz w:val="32"/>
          <w:szCs w:val="32"/>
        </w:rPr>
        <w:t>根据财政批复</w:t>
      </w:r>
      <w:r>
        <w:rPr>
          <w:rFonts w:hint="eastAsia" w:ascii="Times New Roman" w:hAnsi="Times New Roman" w:eastAsia="仿宋_GB2312" w:cs="Times New Roman"/>
          <w:bCs/>
          <w:color w:val="auto"/>
          <w:sz w:val="32"/>
          <w:szCs w:val="32"/>
          <w:lang w:val="en-US" w:eastAsia="zh-CN"/>
        </w:rPr>
        <w:t>经费制定</w:t>
      </w:r>
      <w:r>
        <w:rPr>
          <w:rFonts w:hint="eastAsia" w:eastAsia="仿宋_GB2312" w:cs="Times New Roman"/>
          <w:bCs/>
          <w:color w:val="auto"/>
          <w:sz w:val="32"/>
          <w:szCs w:val="32"/>
          <w:lang w:val="en-US" w:eastAsia="zh-CN"/>
        </w:rPr>
        <w:t>培训计划。</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自202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年1月1日至202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202</w:t>
      </w:r>
      <w:r>
        <w:rPr>
          <w:rFonts w:hint="eastAsia" w:eastAsia="仿宋_GB2312" w:cs="Times New Roman"/>
          <w:bCs/>
          <w:color w:val="auto"/>
          <w:sz w:val="32"/>
          <w:szCs w:val="32"/>
          <w:lang w:val="en-US" w:eastAsia="zh-CN"/>
        </w:rPr>
        <w:t>5</w:t>
      </w:r>
      <w:r>
        <w:rPr>
          <w:rFonts w:hint="default" w:ascii="Times New Roman" w:hAnsi="Times New Roman" w:eastAsia="仿宋_GB2312" w:cs="Times New Roman"/>
          <w:bCs/>
          <w:color w:val="auto"/>
          <w:sz w:val="32"/>
          <w:szCs w:val="32"/>
        </w:rPr>
        <w:t>年该项目预算</w:t>
      </w:r>
      <w:r>
        <w:rPr>
          <w:rFonts w:hint="eastAsia" w:eastAsia="仿宋_GB2312" w:cs="Times New Roman"/>
          <w:bCs/>
          <w:color w:val="auto"/>
          <w:sz w:val="32"/>
          <w:szCs w:val="32"/>
          <w:lang w:val="en-US" w:eastAsia="zh-CN"/>
        </w:rPr>
        <w:t>30万</w:t>
      </w:r>
      <w:r>
        <w:rPr>
          <w:rFonts w:hint="default" w:ascii="Times New Roman" w:hAnsi="Times New Roman" w:eastAsia="仿宋_GB2312" w:cs="Times New Roman"/>
          <w:bCs/>
          <w:color w:val="auto"/>
          <w:sz w:val="32"/>
          <w:szCs w:val="32"/>
        </w:rPr>
        <w:t>元。</w:t>
      </w:r>
    </w:p>
    <w:p>
      <w:pPr>
        <w:pageBreakBefore w:val="0"/>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 xml:space="preserve">    十一、</w:t>
      </w:r>
      <w:r>
        <w:rPr>
          <w:rFonts w:hint="eastAsia" w:eastAsia="黑体" w:cs="黑体"/>
          <w:b w:val="0"/>
          <w:bCs w:val="0"/>
          <w:sz w:val="32"/>
          <w:szCs w:val="36"/>
        </w:rPr>
        <w:t>一般公共预算机关运行经费支出预算情况说明</w:t>
      </w:r>
    </w:p>
    <w:p>
      <w:pPr>
        <w:pageBreakBefore w:val="0"/>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u w:val="single"/>
          <w:lang w:val="en-US" w:eastAsia="zh-CN"/>
        </w:rPr>
        <w:t>锡林郭勒盟安神医院</w:t>
      </w:r>
      <w:r>
        <w:rPr>
          <w:rFonts w:hint="eastAsia" w:eastAsia="仿宋_GB2312" w:cs="Times New Roman"/>
          <w:sz w:val="32"/>
          <w:szCs w:val="32"/>
          <w:lang w:val="en-US" w:eastAsia="zh-CN"/>
        </w:rPr>
        <w:t>2025年</w:t>
      </w:r>
      <w:r>
        <w:rPr>
          <w:rFonts w:hint="default" w:ascii="Times New Roman" w:hAnsi="Times New Roman" w:eastAsia="仿宋_GB2312" w:cs="Times New Roman"/>
          <w:sz w:val="32"/>
          <w:szCs w:val="32"/>
        </w:rPr>
        <w:t>一般公共预算机关运行经费预算支出</w:t>
      </w:r>
      <w:r>
        <w:rPr>
          <w:rFonts w:hint="eastAsia" w:eastAsia="仿宋_GB2312" w:cs="Times New Roman"/>
          <w:sz w:val="32"/>
          <w:szCs w:val="32"/>
          <w:u w:val="single"/>
          <w:lang w:val="en-US" w:eastAsia="zh-CN"/>
        </w:rPr>
        <w:t>189.67</w:t>
      </w:r>
      <w:r>
        <w:rPr>
          <w:rFonts w:hint="default" w:ascii="Times New Roman" w:hAnsi="Times New Roman" w:eastAsia="仿宋_GB2312" w:cs="Times New Roman"/>
          <w:sz w:val="32"/>
          <w:szCs w:val="32"/>
        </w:rPr>
        <w:t>万元，主要包括以下支出：电费</w:t>
      </w:r>
      <w:r>
        <w:rPr>
          <w:rFonts w:hint="eastAsia" w:ascii="Times New Roman" w:hAnsi="Times New Roman" w:eastAsia="仿宋_GB2312" w:cs="Times New Roman"/>
          <w:sz w:val="32"/>
          <w:szCs w:val="32"/>
          <w:lang w:val="en-US" w:eastAsia="zh-CN"/>
        </w:rPr>
        <w:t>64.84万元</w:t>
      </w:r>
      <w:r>
        <w:rPr>
          <w:rFonts w:hint="default" w:ascii="Times New Roman" w:hAnsi="Times New Roman" w:eastAsia="仿宋_GB2312" w:cs="Times New Roman"/>
          <w:sz w:val="32"/>
          <w:szCs w:val="32"/>
        </w:rPr>
        <w:t>、邮电费</w:t>
      </w:r>
      <w:r>
        <w:rPr>
          <w:rFonts w:hint="eastAsia" w:eastAsia="仿宋_GB2312" w:cs="Times New Roman"/>
          <w:sz w:val="32"/>
          <w:szCs w:val="32"/>
          <w:lang w:val="en-US" w:eastAsia="zh-CN"/>
        </w:rPr>
        <w:t>1万元</w:t>
      </w:r>
      <w:r>
        <w:rPr>
          <w:rFonts w:hint="default" w:ascii="Times New Roman" w:hAnsi="Times New Roman" w:eastAsia="仿宋_GB2312" w:cs="Times New Roman"/>
          <w:sz w:val="32"/>
          <w:szCs w:val="32"/>
        </w:rPr>
        <w:t>、取暖费</w:t>
      </w:r>
      <w:r>
        <w:rPr>
          <w:rFonts w:hint="eastAsia" w:eastAsia="仿宋_GB2312" w:cs="Times New Roman"/>
          <w:sz w:val="32"/>
          <w:szCs w:val="32"/>
          <w:lang w:val="en-US" w:eastAsia="zh-CN"/>
        </w:rPr>
        <w:t>87.96万元</w:t>
      </w:r>
      <w:r>
        <w:rPr>
          <w:rFonts w:hint="default" w:ascii="Times New Roman" w:hAnsi="Times New Roman" w:eastAsia="仿宋_GB2312" w:cs="Times New Roman"/>
          <w:sz w:val="32"/>
          <w:szCs w:val="32"/>
        </w:rPr>
        <w:t>、工会经费</w:t>
      </w:r>
      <w:r>
        <w:rPr>
          <w:rFonts w:hint="eastAsia" w:eastAsia="仿宋_GB2312" w:cs="Times New Roman"/>
          <w:sz w:val="32"/>
          <w:szCs w:val="32"/>
          <w:lang w:val="en-US" w:eastAsia="zh-CN"/>
        </w:rPr>
        <w:t>14.68万元</w:t>
      </w:r>
      <w:r>
        <w:rPr>
          <w:rFonts w:hint="default" w:ascii="Times New Roman" w:hAnsi="Times New Roman" w:eastAsia="仿宋_GB2312" w:cs="Times New Roman"/>
          <w:sz w:val="32"/>
          <w:szCs w:val="32"/>
        </w:rPr>
        <w:t>、福利费</w:t>
      </w:r>
      <w:r>
        <w:rPr>
          <w:rFonts w:hint="eastAsia" w:eastAsia="仿宋_GB2312" w:cs="Times New Roman"/>
          <w:sz w:val="32"/>
          <w:szCs w:val="32"/>
          <w:lang w:val="en-US" w:eastAsia="zh-CN"/>
        </w:rPr>
        <w:t>19.19万元</w:t>
      </w:r>
      <w:r>
        <w:rPr>
          <w:rFonts w:hint="default" w:ascii="Times New Roman" w:hAnsi="Times New Roman" w:eastAsia="仿宋_GB2312" w:cs="Times New Roman"/>
          <w:sz w:val="32"/>
          <w:szCs w:val="32"/>
        </w:rPr>
        <w:t>、公务用车运行维护费</w:t>
      </w:r>
      <w:r>
        <w:rPr>
          <w:rFonts w:hint="eastAsia" w:eastAsia="仿宋_GB2312" w:cs="Times New Roman"/>
          <w:sz w:val="32"/>
          <w:szCs w:val="32"/>
          <w:lang w:val="en-US" w:eastAsia="zh-CN"/>
        </w:rPr>
        <w:t>2万元</w:t>
      </w:r>
      <w:r>
        <w:rPr>
          <w:rFonts w:hint="default" w:ascii="Times New Roman" w:hAnsi="Times New Roman" w:eastAsia="仿宋_GB2312" w:cs="Times New Roman"/>
          <w:sz w:val="32"/>
          <w:szCs w:val="32"/>
        </w:rPr>
        <w:t>等</w:t>
      </w:r>
      <w:r>
        <w:rPr>
          <w:rFonts w:hint="eastAsia" w:eastAsia="仿宋_GB2312" w:cstheme="minorBidi"/>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与</w:t>
      </w:r>
      <w:r>
        <w:rPr>
          <w:rFonts w:hint="default" w:ascii="Times New Roman" w:hAnsi="Times New Roman" w:eastAsia="仿宋_GB2312" w:cs="Times New Roman"/>
          <w:sz w:val="32"/>
          <w:szCs w:val="32"/>
        </w:rPr>
        <w:t>上年相比增加</w:t>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8.12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万元，增长</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4.47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因人员薪资调整，工会经费增加</w:t>
      </w:r>
      <w:r>
        <w:rPr>
          <w:rFonts w:hint="default" w:ascii="Times New Roman" w:hAnsi="Times New Roman" w:eastAsia="仿宋_GB2312" w:cs="Times New Roman"/>
          <w:sz w:val="32"/>
          <w:szCs w:val="32"/>
        </w:rPr>
        <w:t>。</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Bdr>
          <w:bottom w:val="single" w:color="FFFFFF" w:sz="4" w:space="30"/>
        </w:pBdr>
        <w:snapToGrid w:val="0"/>
        <w:spacing w:line="600" w:lineRule="exact"/>
        <w:ind w:firstLine="640" w:firstLineChars="200"/>
        <w:rPr>
          <w:rFonts w:hint="eastAsia" w:ascii="Times New Roman" w:hAnsi="Times New Roman" w:eastAsia="仿宋_GB2312" w:cs="Times New Roman"/>
          <w:color w:val="FF0000"/>
          <w:sz w:val="32"/>
          <w:szCs w:val="32"/>
          <w:lang w:eastAsia="zh-CN"/>
        </w:rPr>
      </w:pPr>
      <w:r>
        <w:rPr>
          <w:rFonts w:hint="eastAsia" w:eastAsia="仿宋_GB2312" w:cs="Times New Roman"/>
          <w:sz w:val="32"/>
          <w:szCs w:val="32"/>
          <w:u w:val="single"/>
          <w:lang w:val="en-US" w:eastAsia="zh-CN"/>
        </w:rPr>
        <w:t>锡林郭勒盟安神医院</w:t>
      </w:r>
      <w:r>
        <w:rPr>
          <w:rFonts w:hint="eastAsia" w:eastAsia="仿宋_GB2312" w:cs="Times New Roman"/>
          <w:sz w:val="32"/>
          <w:szCs w:val="32"/>
          <w:lang w:val="en-US" w:eastAsia="zh-CN"/>
        </w:rPr>
        <w:t>2025</w:t>
      </w:r>
      <w:r>
        <w:rPr>
          <w:rFonts w:hint="default" w:ascii="Times New Roman" w:hAnsi="Times New Roman" w:eastAsia="仿宋_GB2312" w:cs="Times New Roman"/>
          <w:sz w:val="32"/>
          <w:szCs w:val="32"/>
        </w:rPr>
        <w:t>年度政府采购支出预算总额</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4938.94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万元，其中：拟采购货物支出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2279.94</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万元、拟采购工程支出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800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万元、拟购买服务支出</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1859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涵盖“计算机设备及软件”、“办公设备”、</w:t>
      </w:r>
      <w:r>
        <w:rPr>
          <w:rFonts w:hint="eastAsia" w:eastAsia="仿宋_GB2312" w:cs="Times New Roman"/>
          <w:color w:val="auto"/>
          <w:sz w:val="32"/>
          <w:szCs w:val="32"/>
          <w:lang w:eastAsia="zh-CN"/>
        </w:rPr>
        <w:t>“</w:t>
      </w:r>
      <w:r>
        <w:rPr>
          <w:rFonts w:hint="eastAsia" w:eastAsia="仿宋_GB2312" w:cs="Times New Roman"/>
          <w:color w:val="auto"/>
          <w:sz w:val="32"/>
          <w:szCs w:val="32"/>
          <w:lang w:val="en-US" w:eastAsia="zh-CN"/>
        </w:rPr>
        <w:t>医疗设备</w:t>
      </w:r>
      <w:r>
        <w:rPr>
          <w:rFonts w:hint="eastAsia" w:eastAsia="仿宋_GB2312" w:cs="Times New Roman"/>
          <w:color w:val="auto"/>
          <w:sz w:val="32"/>
          <w:szCs w:val="32"/>
          <w:lang w:eastAsia="zh-CN"/>
        </w:rPr>
        <w:t>”“物业管理服务”</w:t>
      </w:r>
      <w:r>
        <w:rPr>
          <w:rFonts w:hint="default" w:ascii="Times New Roman" w:hAnsi="Times New Roman" w:eastAsia="仿宋_GB2312" w:cs="Times New Roman"/>
          <w:color w:val="auto"/>
          <w:sz w:val="32"/>
          <w:szCs w:val="32"/>
        </w:rPr>
        <w:t>等采购大类，编制政府采购预算明细</w:t>
      </w: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项，采购金额来源为</w:t>
      </w:r>
      <w:r>
        <w:rPr>
          <w:rFonts w:hint="eastAsia" w:eastAsia="仿宋_GB2312"/>
          <w:color w:val="auto"/>
          <w:sz w:val="32"/>
          <w:szCs w:val="32"/>
        </w:rPr>
        <w:t>为单位自筹资金</w:t>
      </w:r>
      <w:r>
        <w:rPr>
          <w:rFonts w:hint="eastAsia" w:eastAsia="仿宋_GB2312"/>
          <w:color w:val="auto"/>
          <w:sz w:val="32"/>
          <w:szCs w:val="32"/>
          <w:lang w:eastAsia="zh-CN"/>
        </w:rPr>
        <w:t>。</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本部门（单位）共有车辆</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3</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辆，其中，一般公务用车</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辆、执法执勤用车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辆、特种专业技术用车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1</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辆、业务用车</w:t>
      </w:r>
      <w:r>
        <w:rPr>
          <w:rFonts w:hint="default" w:ascii="Times New Roman" w:hAnsi="Times New Roman" w:eastAsia="仿宋_GB2312" w:cs="Times New Roman"/>
          <w:sz w:val="32"/>
          <w:szCs w:val="32"/>
          <w:u w:val="single"/>
        </w:rPr>
        <w:tab/>
      </w:r>
      <w:r>
        <w:rPr>
          <w:rFonts w:hint="default" w:ascii="Times New Roman" w:hAnsi="Times New Roman" w:eastAsia="仿宋_GB2312" w:cs="Times New Roman"/>
          <w:sz w:val="32"/>
          <w:szCs w:val="32"/>
          <w:u w:val="single"/>
        </w:rPr>
        <w:t xml:space="preserve"> </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辆、其他用车</w:t>
      </w:r>
      <w:r>
        <w:rPr>
          <w:rFonts w:hint="eastAsia" w:eastAsia="仿宋_GB2312" w:cs="Times New Roman"/>
          <w:sz w:val="32"/>
          <w:szCs w:val="32"/>
          <w:u w:val="single"/>
          <w:lang w:val="en-US" w:eastAsia="zh-CN"/>
        </w:rPr>
        <w:t>2</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辆等。单价50万元（含）以上的通用设备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7</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台（套），单价100万元（含）以上的专用设备</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9</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台（套）。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r>
        <w:rPr>
          <w:rFonts w:hint="eastAsia" w:eastAsia="黑体" w:cs="黑体"/>
          <w:b/>
          <w:bCs/>
          <w:sz w:val="32"/>
          <w:szCs w:val="36"/>
          <w:lang w:val="en-US" w:eastAsia="zh-CN"/>
        </w:rPr>
        <w:t xml:space="preserve">   2025</w:t>
      </w:r>
      <w:r>
        <w:rPr>
          <w:rFonts w:hint="eastAsia" w:eastAsia="仿宋_GB2312" w:cstheme="minorBidi"/>
          <w:sz w:val="32"/>
          <w:szCs w:val="32"/>
        </w:rPr>
        <w:t>年，填报绩效目标的预算项目</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4</w:t>
      </w:r>
      <w:r>
        <w:rPr>
          <w:rFonts w:hint="eastAsia" w:eastAsia="仿宋_GB2312" w:cstheme="minorBidi"/>
          <w:sz w:val="32"/>
          <w:szCs w:val="32"/>
          <w:u w:val="single"/>
        </w:rPr>
        <w:t xml:space="preserve"> </w:t>
      </w:r>
      <w:r>
        <w:rPr>
          <w:rFonts w:hint="eastAsia" w:eastAsia="仿宋_GB2312" w:cstheme="minorBidi"/>
          <w:sz w:val="32"/>
          <w:szCs w:val="32"/>
        </w:rPr>
        <w:t>个，公开绩效目标</w:t>
      </w:r>
      <w:r>
        <w:rPr>
          <w:rFonts w:hint="eastAsia" w:eastAsia="仿宋_GB2312" w:cstheme="minorBidi"/>
          <w:sz w:val="32"/>
          <w:szCs w:val="32"/>
          <w:u w:val="single"/>
        </w:rPr>
        <w:tab/>
      </w:r>
      <w:r>
        <w:rPr>
          <w:rFonts w:hint="eastAsia" w:eastAsia="仿宋_GB2312" w:cstheme="minorBidi"/>
          <w:sz w:val="32"/>
          <w:szCs w:val="32"/>
          <w:u w:val="single"/>
          <w:lang w:val="en-US" w:eastAsia="zh-CN"/>
        </w:rPr>
        <w:t>4</w:t>
      </w:r>
      <w:r>
        <w:rPr>
          <w:rFonts w:hint="eastAsia" w:eastAsia="仿宋_GB2312" w:cstheme="minorBidi"/>
          <w:sz w:val="32"/>
          <w:szCs w:val="32"/>
          <w:u w:val="single"/>
        </w:rPr>
        <w:t xml:space="preserve"> </w:t>
      </w:r>
      <w:r>
        <w:rPr>
          <w:rFonts w:hint="eastAsia" w:eastAsia="仿宋_GB2312" w:cstheme="minorBidi"/>
          <w:sz w:val="32"/>
          <w:szCs w:val="32"/>
        </w:rPr>
        <w:t>个，公开项目占全部预算项目的100 %。公开填报绩效目标的项目预算</w:t>
      </w:r>
      <w:r>
        <w:rPr>
          <w:rFonts w:hint="eastAsia" w:eastAsia="仿宋_GB2312" w:cstheme="minorBidi"/>
          <w:sz w:val="32"/>
          <w:szCs w:val="32"/>
          <w:u w:val="single"/>
        </w:rPr>
        <w:tab/>
      </w:r>
      <w:r>
        <w:rPr>
          <w:rFonts w:hint="eastAsia" w:eastAsia="仿宋_GB2312" w:cstheme="minorBidi"/>
          <w:sz w:val="32"/>
          <w:szCs w:val="32"/>
          <w:u w:val="single"/>
        </w:rPr>
        <w:t xml:space="preserve"> </w:t>
      </w:r>
      <w:r>
        <w:rPr>
          <w:rFonts w:hint="eastAsia" w:eastAsia="仿宋_GB2312" w:cstheme="minorBidi"/>
          <w:sz w:val="32"/>
          <w:szCs w:val="32"/>
          <w:u w:val="single"/>
          <w:lang w:val="en-US" w:eastAsia="zh-CN"/>
        </w:rPr>
        <w:t>48.56</w:t>
      </w:r>
      <w:r>
        <w:rPr>
          <w:rFonts w:hint="eastAsia" w:eastAsia="仿宋_GB2312" w:cstheme="minorBidi"/>
          <w:sz w:val="32"/>
          <w:szCs w:val="32"/>
          <w:u w:val="single"/>
        </w:rPr>
        <w:t xml:space="preserve"> </w:t>
      </w:r>
      <w:r>
        <w:rPr>
          <w:rFonts w:hint="eastAsia" w:eastAsia="仿宋_GB2312" w:cstheme="minorBidi"/>
          <w:sz w:val="32"/>
          <w:szCs w:val="32"/>
        </w:rPr>
        <w:t>万元，占全部项目预算的100%。</w:t>
      </w:r>
    </w:p>
    <w:p>
      <w:pPr>
        <w:pStyle w:val="6"/>
        <w:pageBreakBefore w:val="0"/>
        <w:tabs>
          <w:tab w:val="left" w:pos="4392"/>
        </w:tabs>
        <w:kinsoku/>
        <w:wordWrap/>
        <w:overflowPunct/>
        <w:topLinePunct w:val="0"/>
        <w:bidi w:val="0"/>
        <w:spacing w:before="0" w:after="0" w:line="600" w:lineRule="exact"/>
        <w:ind w:firstLine="720" w:firstLineChars="200"/>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lang w:val="en-US" w:eastAsia="zh-CN"/>
        </w:rPr>
        <w:t>三</w:t>
      </w:r>
      <w:r>
        <w:rPr>
          <w:rFonts w:hint="eastAsia" w:eastAsia="仿宋_GB2312" w:cstheme="minorBidi"/>
          <w:b/>
          <w:bCs/>
          <w:sz w:val="32"/>
          <w:szCs w:val="32"/>
        </w:rPr>
        <w:t>、单位资金：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lang w:val="en-US" w:eastAsia="zh-CN"/>
        </w:rPr>
        <w:t>四</w:t>
      </w:r>
      <w:r>
        <w:rPr>
          <w:rFonts w:hint="eastAsia" w:eastAsia="仿宋_GB2312" w:cstheme="minorBidi"/>
          <w:b/>
          <w:bCs/>
          <w:sz w:val="32"/>
          <w:szCs w:val="32"/>
        </w:rPr>
        <w:t>、基本支出：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lang w:val="en-US" w:eastAsia="zh-CN"/>
        </w:rPr>
        <w:t>七</w:t>
      </w:r>
      <w:r>
        <w:rPr>
          <w:rFonts w:hint="eastAsia" w:eastAsia="仿宋_GB2312" w:cstheme="minorBidi"/>
          <w:b/>
          <w:bCs/>
          <w:sz w:val="32"/>
          <w:szCs w:val="32"/>
        </w:rPr>
        <w:t>、“三公”经费：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lang w:val="en-US" w:eastAsia="zh-CN"/>
        </w:rPr>
        <w:t>八</w:t>
      </w:r>
      <w:r>
        <w:rPr>
          <w:rFonts w:hint="eastAsia" w:eastAsia="仿宋_GB2312" w:cstheme="minorBidi"/>
          <w:b/>
          <w:bCs/>
          <w:sz w:val="32"/>
          <w:szCs w:val="32"/>
        </w:rPr>
        <w:t>、机关运行经费：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ind w:firstLine="643" w:firstLineChars="200"/>
        <w:rPr>
          <w:rFonts w:eastAsia="仿宋_GB2312" w:cstheme="minorBidi"/>
          <w:b/>
          <w:bCs/>
          <w:sz w:val="32"/>
          <w:szCs w:val="32"/>
        </w:rPr>
      </w:pPr>
    </w:p>
    <w:p>
      <w:pPr>
        <w:pageBreakBefore w:val="0"/>
        <w:kinsoku/>
        <w:wordWrap/>
        <w:overflowPunct/>
        <w:topLinePunct w:val="0"/>
        <w:bidi w:val="0"/>
        <w:spacing w:line="600" w:lineRule="exact"/>
        <w:jc w:val="center"/>
        <w:rPr>
          <w:rFonts w:hint="eastAsia" w:ascii="方正小标宋简体" w:hAnsi="方正小标宋简体" w:eastAsia="方正小标宋简体" w:cs="方正小标宋简体"/>
          <w:b w:val="0"/>
          <w:bCs w:val="0"/>
          <w:sz w:val="36"/>
          <w:szCs w:val="36"/>
        </w:rPr>
      </w:pPr>
    </w:p>
    <w:p>
      <w:pPr>
        <w:pageBreakBefore w:val="0"/>
        <w:kinsoku/>
        <w:wordWrap/>
        <w:overflowPunct/>
        <w:topLinePunct w:val="0"/>
        <w:bidi w:val="0"/>
        <w:spacing w:line="600" w:lineRule="exact"/>
        <w:jc w:val="center"/>
        <w:rPr>
          <w:rFonts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第四部分</w:t>
      </w:r>
      <w:r>
        <w:rPr>
          <w:rFonts w:hint="eastAsia" w:ascii="仿宋" w:hAnsi="仿宋" w:eastAsia="仿宋" w:cs="仿宋"/>
          <w:b w:val="0"/>
          <w:bCs w:val="0"/>
          <w:sz w:val="36"/>
          <w:szCs w:val="36"/>
        </w:rPr>
        <w:t xml:space="preserve"> </w:t>
      </w:r>
      <w:r>
        <w:rPr>
          <w:rFonts w:hint="eastAsia" w:ascii="方正小标宋简体" w:hAnsi="方正小标宋简体" w:eastAsia="方正小标宋简体" w:cs="方正小标宋简体"/>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方正小标宋简体" w:hAnsi="方正小标宋简体" w:eastAsia="方正小标宋简体" w:cs="方正小标宋简体"/>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val="en-US" w:eastAsia="zh-CN"/>
        </w:rPr>
        <w:t>娜日苏</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8253710</w:t>
      </w:r>
    </w:p>
    <w:p>
      <w:pPr>
        <w:pStyle w:val="6"/>
        <w:pageBreakBefore w:val="0"/>
        <w:tabs>
          <w:tab w:val="left" w:pos="4392"/>
        </w:tabs>
        <w:kinsoku/>
        <w:wordWrap/>
        <w:overflowPunct/>
        <w:topLinePunct w:val="0"/>
        <w:bidi w:val="0"/>
        <w:spacing w:before="0" w:after="0" w:line="600" w:lineRule="exact"/>
        <w:jc w:val="center"/>
        <w:rPr>
          <w:sz w:val="23"/>
        </w:rPr>
      </w:pPr>
      <w:r>
        <w:rPr>
          <w:rFonts w:hint="eastAsia" w:ascii="方正小标宋简体" w:hAnsi="方正小标宋简体" w:eastAsia="方正小标宋简体" w:cs="方正小标宋简体"/>
          <w:b w:val="0"/>
          <w:bCs w:val="0"/>
          <w:sz w:val="36"/>
          <w:szCs w:val="36"/>
        </w:rPr>
        <w:t xml:space="preserve">第五部分 </w:t>
      </w:r>
      <w:r>
        <w:rPr>
          <w:rFonts w:hint="eastAsia" w:ascii="方正小标宋简体" w:hAnsi="方正小标宋简体" w:eastAsia="方正小标宋简体" w:cs="方正小标宋简体"/>
          <w:b w:val="0"/>
          <w:bCs w:val="0"/>
          <w:sz w:val="36"/>
          <w:szCs w:val="36"/>
          <w:lang w:val="en-US" w:eastAsia="zh-CN"/>
        </w:rPr>
        <w:t>2025</w:t>
      </w:r>
      <w:r>
        <w:rPr>
          <w:rFonts w:hint="eastAsia" w:ascii="方正小标宋简体" w:hAnsi="方正小标宋简体" w:eastAsia="方正小标宋简体" w:cs="方正小标宋简体"/>
          <w:b w:val="0"/>
          <w:bCs w:val="0"/>
          <w:sz w:val="36"/>
          <w:szCs w:val="36"/>
        </w:rPr>
        <w:t>年度</w:t>
      </w:r>
      <w:r>
        <w:rPr>
          <w:rFonts w:hint="eastAsia" w:ascii="方正小标宋简体" w:hAnsi="方正小标宋简体" w:eastAsia="方正小标宋简体" w:cs="方正小标宋简体"/>
          <w:b w:val="0"/>
          <w:bCs w:val="0"/>
          <w:sz w:val="36"/>
          <w:szCs w:val="36"/>
          <w:lang w:val="en-US" w:eastAsia="zh-CN"/>
        </w:rPr>
        <w:t>锡林郭勒盟安神医院</w:t>
      </w:r>
      <w:r>
        <w:rPr>
          <w:rFonts w:hint="eastAsia" w:ascii="方正小标宋简体" w:hAnsi="方正小标宋简体" w:eastAsia="方正小标宋简体" w:cs="方正小标宋简体"/>
          <w:b w:val="0"/>
          <w:bCs w:val="0"/>
          <w:sz w:val="36"/>
          <w:szCs w:val="36"/>
        </w:rPr>
        <w:t>预算表</w:t>
      </w:r>
    </w:p>
    <w:p>
      <w:pPr>
        <w:pageBreakBefore w:val="0"/>
        <w:kinsoku/>
        <w:wordWrap/>
        <w:overflowPunct/>
        <w:topLinePunct w:val="0"/>
        <w:bidi w:val="0"/>
        <w:spacing w:line="600" w:lineRule="exact"/>
        <w:jc w:val="center"/>
        <w:rPr>
          <w:rFonts w:hint="eastAsia" w:eastAsia="仿宋_GB2312" w:cstheme="minorBidi"/>
          <w:sz w:val="30"/>
          <w:szCs w:val="30"/>
        </w:rPr>
      </w:pPr>
      <w:r>
        <w:rPr>
          <w:rFonts w:hint="eastAsia" w:eastAsia="仿宋_GB2312" w:cstheme="minorBidi"/>
          <w:sz w:val="30"/>
          <w:szCs w:val="30"/>
        </w:rPr>
        <w:t>收支总表</w:t>
      </w:r>
    </w:p>
    <w:p>
      <w:pPr>
        <w:pStyle w:val="12"/>
        <w:jc w:val="right"/>
        <w:rPr>
          <w:rFonts w:hint="default" w:eastAsia="仿宋_GB2312"/>
          <w:lang w:val="en-US" w:eastAsia="zh-CN"/>
        </w:rPr>
      </w:pPr>
      <w:r>
        <w:rPr>
          <w:rFonts w:hint="eastAsia" w:eastAsia="仿宋_GB2312" w:cstheme="minorBidi"/>
          <w:sz w:val="30"/>
          <w:szCs w:val="30"/>
          <w:lang w:val="en-US" w:eastAsia="zh-CN"/>
        </w:rPr>
        <w:t>单位：万元</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6"/>
        <w:gridCol w:w="2216"/>
        <w:gridCol w:w="2734"/>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2" w:type="dxa"/>
            <w:gridSpan w:val="2"/>
            <w:vAlign w:val="center"/>
          </w:tcPr>
          <w:p>
            <w:pPr>
              <w:pStyle w:val="12"/>
              <w:jc w:val="center"/>
              <w:rPr>
                <w:rFonts w:hint="eastAsia" w:eastAsia="宋体"/>
                <w:vertAlign w:val="baseline"/>
                <w:lang w:val="en-US" w:eastAsia="zh-CN"/>
              </w:rPr>
            </w:pPr>
            <w:r>
              <w:rPr>
                <w:rFonts w:hint="eastAsia"/>
                <w:vertAlign w:val="baseline"/>
                <w:lang w:val="en-US" w:eastAsia="zh-CN"/>
              </w:rPr>
              <w:t>收     入</w:t>
            </w:r>
          </w:p>
        </w:tc>
        <w:tc>
          <w:tcPr>
            <w:tcW w:w="4984" w:type="dxa"/>
            <w:gridSpan w:val="2"/>
            <w:vAlign w:val="center"/>
          </w:tcPr>
          <w:p>
            <w:pPr>
              <w:pStyle w:val="12"/>
              <w:ind w:firstLine="1440" w:firstLineChars="600"/>
              <w:jc w:val="both"/>
              <w:rPr>
                <w:rFonts w:hint="eastAsia" w:eastAsia="宋体"/>
                <w:vertAlign w:val="baseline"/>
                <w:lang w:val="en-US" w:eastAsia="zh-CN"/>
              </w:rPr>
            </w:pPr>
            <w:r>
              <w:rPr>
                <w:rFonts w:hint="eastAsia"/>
                <w:vertAlign w:val="baseline"/>
                <w:lang w:val="en-US" w:eastAsia="zh-CN"/>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b/>
                <w:bCs/>
                <w:i w:val="0"/>
                <w:iCs w:val="0"/>
                <w:color w:val="000000"/>
                <w:kern w:val="0"/>
                <w:sz w:val="24"/>
                <w:szCs w:val="24"/>
                <w:u w:val="none"/>
                <w:lang w:val="en-US" w:eastAsia="zh-CN" w:bidi="ar"/>
              </w:rPr>
              <w:t>项    目</w:t>
            </w:r>
          </w:p>
        </w:tc>
        <w:tc>
          <w:tcPr>
            <w:tcW w:w="2216"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b/>
                <w:bCs/>
                <w:i w:val="0"/>
                <w:iCs w:val="0"/>
                <w:color w:val="000000"/>
                <w:kern w:val="0"/>
                <w:sz w:val="24"/>
                <w:szCs w:val="24"/>
                <w:u w:val="none"/>
                <w:lang w:val="en-US" w:eastAsia="zh-CN" w:bidi="ar"/>
              </w:rPr>
              <w:t>预算数</w:t>
            </w:r>
          </w:p>
        </w:tc>
        <w:tc>
          <w:tcPr>
            <w:tcW w:w="2734"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b/>
                <w:bCs/>
                <w:i w:val="0"/>
                <w:iCs w:val="0"/>
                <w:color w:val="000000"/>
                <w:kern w:val="0"/>
                <w:sz w:val="24"/>
                <w:szCs w:val="24"/>
                <w:u w:val="none"/>
                <w:lang w:val="en-US" w:eastAsia="zh-CN" w:bidi="ar"/>
              </w:rPr>
              <w:t>项    目</w:t>
            </w:r>
          </w:p>
        </w:tc>
        <w:tc>
          <w:tcPr>
            <w:tcW w:w="2250" w:type="dxa"/>
            <w:vAlign w:val="center"/>
          </w:tcPr>
          <w:p>
            <w:pPr>
              <w:keepNext w:val="0"/>
              <w:keepLines w:val="0"/>
              <w:widowControl/>
              <w:suppressLineNumbers w:val="0"/>
              <w:jc w:val="center"/>
              <w:textAlignment w:val="center"/>
              <w:rPr>
                <w:vertAlign w:val="baseline"/>
              </w:rPr>
            </w:pPr>
            <w:r>
              <w:rPr>
                <w:rFonts w:ascii="宋体" w:hAnsi="宋体" w:eastAsia="宋体" w:cs="宋体"/>
                <w:b/>
                <w:bCs/>
                <w:i w:val="0"/>
                <w:iCs w:val="0"/>
                <w:color w:val="000000"/>
                <w:kern w:val="0"/>
                <w:sz w:val="24"/>
                <w:szCs w:val="24"/>
                <w:u w:val="none"/>
                <w:lang w:val="en-US" w:eastAsia="zh-CN"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66"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一、一般公共预算拨款收入</w:t>
            </w:r>
          </w:p>
        </w:tc>
        <w:tc>
          <w:tcPr>
            <w:tcW w:w="2216" w:type="dxa"/>
            <w:vAlign w:val="center"/>
          </w:tcPr>
          <w:p>
            <w:pPr>
              <w:keepNext w:val="0"/>
              <w:keepLines w:val="0"/>
              <w:widowControl/>
              <w:suppressLineNumbers w:val="0"/>
              <w:jc w:val="right"/>
              <w:textAlignment w:val="center"/>
              <w:rPr>
                <w:rFonts w:hint="default"/>
                <w:vertAlign w:val="baseline"/>
                <w:lang w:val="en-US"/>
              </w:rPr>
            </w:pPr>
            <w:r>
              <w:rPr>
                <w:rFonts w:hint="eastAsia" w:ascii="宋体" w:hAnsi="宋体" w:eastAsia="宋体" w:cs="宋体"/>
                <w:i w:val="0"/>
                <w:iCs w:val="0"/>
                <w:color w:val="000000"/>
                <w:kern w:val="0"/>
                <w:sz w:val="22"/>
                <w:szCs w:val="22"/>
                <w:u w:val="none"/>
                <w:lang w:val="en-US" w:eastAsia="zh-CN" w:bidi="ar"/>
              </w:rPr>
              <w:t>1824.46</w:t>
            </w: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二、政府性基金预算拨款收入</w:t>
            </w: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二、外交支出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三、国有资本经营预算拨款收入</w:t>
            </w: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三、国防支出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四、财政专户管理资金收入</w:t>
            </w: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四、公共安全支出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五、事业收入</w:t>
            </w:r>
          </w:p>
        </w:tc>
        <w:tc>
          <w:tcPr>
            <w:tcW w:w="2216" w:type="dxa"/>
            <w:vAlign w:val="center"/>
          </w:tcPr>
          <w:p>
            <w:pPr>
              <w:keepNext w:val="0"/>
              <w:keepLines w:val="0"/>
              <w:widowControl/>
              <w:suppressLineNumbers w:val="0"/>
              <w:jc w:val="right"/>
              <w:textAlignment w:val="center"/>
              <w:rPr>
                <w:rFonts w:hint="default"/>
                <w:vertAlign w:val="baseline"/>
                <w:lang w:val="en-US"/>
              </w:rPr>
            </w:pPr>
            <w:r>
              <w:rPr>
                <w:rFonts w:hint="eastAsia" w:ascii="宋体" w:hAnsi="宋体" w:eastAsia="宋体" w:cs="宋体"/>
                <w:i w:val="0"/>
                <w:iCs w:val="0"/>
                <w:color w:val="000000"/>
                <w:kern w:val="0"/>
                <w:sz w:val="22"/>
                <w:szCs w:val="22"/>
                <w:u w:val="none"/>
                <w:lang w:val="en-US" w:eastAsia="zh-CN" w:bidi="ar"/>
              </w:rPr>
              <w:t>11200.00</w:t>
            </w: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五、教育支出</w:t>
            </w:r>
          </w:p>
        </w:tc>
        <w:tc>
          <w:tcPr>
            <w:tcW w:w="2250" w:type="dxa"/>
            <w:vAlign w:val="center"/>
          </w:tcPr>
          <w:p>
            <w:pPr>
              <w:keepNext w:val="0"/>
              <w:keepLines w:val="0"/>
              <w:widowControl/>
              <w:suppressLineNumbers w:val="0"/>
              <w:jc w:val="right"/>
              <w:textAlignment w:val="center"/>
              <w:rPr>
                <w:rFonts w:hint="default" w:eastAsia="宋体"/>
                <w:vertAlign w:val="baseline"/>
                <w:lang w:val="en-US" w:eastAsia="zh-CN"/>
              </w:rPr>
            </w:pPr>
            <w:r>
              <w:rPr>
                <w:rFonts w:hint="eastAsia" w:ascii="宋体" w:hAnsi="宋体" w:eastAsia="宋体" w:cs="宋体"/>
                <w:i w:val="0"/>
                <w:iCs w:val="0"/>
                <w:color w:val="000000"/>
                <w:kern w:val="0"/>
                <w:sz w:val="22"/>
                <w:szCs w:val="22"/>
                <w:u w:val="none"/>
                <w:lang w:val="en-US" w:eastAsia="zh-CN" w:bidi="ar"/>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六、事业单位经营收入</w:t>
            </w: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六、科学技术支出</w:t>
            </w:r>
          </w:p>
        </w:tc>
        <w:tc>
          <w:tcPr>
            <w:tcW w:w="2250"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七、上级补助收入</w:t>
            </w: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七、文化体育旅游与传媒支出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八、附属单位上缴收入</w:t>
            </w: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2250" w:type="dxa"/>
            <w:vAlign w:val="center"/>
          </w:tcPr>
          <w:p>
            <w:pPr>
              <w:keepNext w:val="0"/>
              <w:keepLines w:val="0"/>
              <w:widowControl/>
              <w:suppressLineNumbers w:val="0"/>
              <w:jc w:val="right"/>
              <w:textAlignment w:val="center"/>
              <w:rPr>
                <w:rFonts w:hint="default"/>
                <w:vertAlign w:val="baseline"/>
                <w:lang w:val="en-US"/>
              </w:rPr>
            </w:pPr>
            <w:r>
              <w:rPr>
                <w:rFonts w:hint="eastAsia" w:ascii="宋体" w:hAnsi="宋体" w:eastAsia="宋体" w:cs="宋体"/>
                <w:i w:val="0"/>
                <w:iCs w:val="0"/>
                <w:color w:val="000000"/>
                <w:kern w:val="0"/>
                <w:sz w:val="22"/>
                <w:szCs w:val="22"/>
                <w:u w:val="none"/>
                <w:lang w:val="en-US" w:eastAsia="zh-CN" w:bidi="ar"/>
              </w:rPr>
              <w:t>124.43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九、其他收入</w:t>
            </w: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十、卫生健康支出</w:t>
            </w:r>
          </w:p>
        </w:tc>
        <w:tc>
          <w:tcPr>
            <w:tcW w:w="2250" w:type="dxa"/>
            <w:vAlign w:val="center"/>
          </w:tcPr>
          <w:p>
            <w:pPr>
              <w:keepNext w:val="0"/>
              <w:keepLines w:val="0"/>
              <w:widowControl/>
              <w:suppressLineNumbers w:val="0"/>
              <w:jc w:val="right"/>
              <w:textAlignment w:val="center"/>
              <w:rPr>
                <w:rFonts w:hint="default"/>
                <w:vertAlign w:val="baseline"/>
                <w:lang w:val="en-US"/>
              </w:rPr>
            </w:pPr>
            <w:r>
              <w:rPr>
                <w:rFonts w:hint="eastAsia" w:ascii="宋体" w:hAnsi="宋体" w:eastAsia="宋体" w:cs="宋体"/>
                <w:i w:val="0"/>
                <w:iCs w:val="0"/>
                <w:color w:val="000000"/>
                <w:kern w:val="0"/>
                <w:sz w:val="22"/>
                <w:szCs w:val="22"/>
                <w:u w:val="none"/>
                <w:lang w:val="en-US" w:eastAsia="zh-CN" w:bidi="ar"/>
              </w:rPr>
              <w:t>12772.99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十一、节能环保支出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十二、城市社区支出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十三、农林水支出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十四、交通运输支出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十七、金融支出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二十、住房保障支出</w:t>
            </w:r>
          </w:p>
        </w:tc>
        <w:tc>
          <w:tcPr>
            <w:tcW w:w="2250" w:type="dxa"/>
            <w:vAlign w:val="center"/>
          </w:tcPr>
          <w:p>
            <w:pPr>
              <w:keepNext w:val="0"/>
              <w:keepLines w:val="0"/>
              <w:widowControl/>
              <w:suppressLineNumbers w:val="0"/>
              <w:jc w:val="right"/>
              <w:textAlignment w:val="center"/>
              <w:rPr>
                <w:rFonts w:hint="default"/>
                <w:vertAlign w:val="baseline"/>
                <w:lang w:val="en-US"/>
              </w:rPr>
            </w:pPr>
            <w:r>
              <w:rPr>
                <w:rFonts w:hint="eastAsia" w:ascii="宋体" w:hAnsi="宋体" w:eastAsia="宋体" w:cs="宋体"/>
                <w:i w:val="0"/>
                <w:iCs w:val="0"/>
                <w:color w:val="000000"/>
                <w:kern w:val="0"/>
                <w:sz w:val="22"/>
                <w:szCs w:val="22"/>
                <w:u w:val="none"/>
                <w:lang w:val="en-US" w:eastAsia="zh-CN" w:bidi="ar"/>
              </w:rPr>
              <w:t>110.60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二十四、预备费</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二十五、其他支出</w:t>
            </w:r>
          </w:p>
        </w:tc>
        <w:tc>
          <w:tcPr>
            <w:tcW w:w="2250" w:type="dxa"/>
            <w:vAlign w:val="center"/>
          </w:tcPr>
          <w:p>
            <w:pPr>
              <w:keepNext w:val="0"/>
              <w:keepLines w:val="0"/>
              <w:widowControl/>
              <w:suppressLineNumbers w:val="0"/>
              <w:jc w:val="right"/>
              <w:textAlignment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二十六、转移性支付</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三十、抗疫特别国债还本支出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rPr>
                <w:vertAlign w:val="baseline"/>
              </w:rPr>
            </w:pPr>
          </w:p>
        </w:tc>
        <w:tc>
          <w:tcPr>
            <w:tcW w:w="2216" w:type="dxa"/>
            <w:vAlign w:val="center"/>
          </w:tcPr>
          <w:p>
            <w:pPr>
              <w:jc w:val="right"/>
              <w:rPr>
                <w:vertAlign w:val="baseline"/>
              </w:rPr>
            </w:pPr>
          </w:p>
        </w:tc>
        <w:tc>
          <w:tcPr>
            <w:tcW w:w="2734" w:type="dxa"/>
            <w:vAlign w:val="center"/>
          </w:tcPr>
          <w:p>
            <w:pPr>
              <w:keepNext w:val="0"/>
              <w:keepLines w:val="0"/>
              <w:widowControl/>
              <w:suppressLineNumbers w:val="0"/>
              <w:jc w:val="left"/>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三十一、与中央财政往来性支出</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b/>
                <w:bCs/>
                <w:i w:val="0"/>
                <w:iCs w:val="0"/>
                <w:color w:val="000000"/>
                <w:kern w:val="0"/>
                <w:sz w:val="24"/>
                <w:szCs w:val="24"/>
                <w:u w:val="none"/>
                <w:lang w:val="en-US" w:eastAsia="zh-CN" w:bidi="ar"/>
              </w:rPr>
              <w:t>本年收入合计</w:t>
            </w:r>
          </w:p>
        </w:tc>
        <w:tc>
          <w:tcPr>
            <w:tcW w:w="2216" w:type="dxa"/>
            <w:vAlign w:val="center"/>
          </w:tcPr>
          <w:p>
            <w:pPr>
              <w:keepNext w:val="0"/>
              <w:keepLines w:val="0"/>
              <w:widowControl/>
              <w:suppressLineNumbers w:val="0"/>
              <w:jc w:val="right"/>
              <w:textAlignment w:val="center"/>
              <w:rPr>
                <w:rFonts w:hint="default"/>
                <w:vertAlign w:val="baseline"/>
                <w:lang w:val="en-US"/>
              </w:rPr>
            </w:pPr>
            <w:r>
              <w:rPr>
                <w:rFonts w:hint="eastAsia" w:ascii="宋体" w:hAnsi="宋体" w:eastAsia="宋体" w:cs="宋体"/>
                <w:b/>
                <w:bCs/>
                <w:i w:val="0"/>
                <w:iCs w:val="0"/>
                <w:color w:val="000000"/>
                <w:kern w:val="0"/>
                <w:sz w:val="24"/>
                <w:szCs w:val="24"/>
                <w:u w:val="none"/>
                <w:lang w:val="en-US" w:eastAsia="zh-CN" w:bidi="ar"/>
              </w:rPr>
              <w:t>13024.46</w:t>
            </w:r>
          </w:p>
        </w:tc>
        <w:tc>
          <w:tcPr>
            <w:tcW w:w="2734"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b/>
                <w:bCs/>
                <w:i w:val="0"/>
                <w:iCs w:val="0"/>
                <w:color w:val="000000"/>
                <w:kern w:val="0"/>
                <w:sz w:val="24"/>
                <w:szCs w:val="24"/>
                <w:u w:val="none"/>
                <w:lang w:val="en-US" w:eastAsia="zh-CN" w:bidi="ar"/>
              </w:rPr>
              <w:t>本年支出合计</w:t>
            </w:r>
          </w:p>
        </w:tc>
        <w:tc>
          <w:tcPr>
            <w:tcW w:w="2250" w:type="dxa"/>
            <w:vAlign w:val="center"/>
          </w:tcPr>
          <w:p>
            <w:pPr>
              <w:keepNext w:val="0"/>
              <w:keepLines w:val="0"/>
              <w:widowControl/>
              <w:suppressLineNumbers w:val="0"/>
              <w:jc w:val="right"/>
              <w:textAlignment w:val="center"/>
              <w:rPr>
                <w:rFonts w:hint="default"/>
                <w:vertAlign w:val="baseline"/>
                <w:lang w:val="en-US"/>
              </w:rPr>
            </w:pPr>
            <w:r>
              <w:rPr>
                <w:rFonts w:hint="eastAsia" w:ascii="宋体" w:hAnsi="宋体" w:eastAsia="宋体" w:cs="宋体"/>
                <w:b/>
                <w:bCs/>
                <w:i w:val="0"/>
                <w:iCs w:val="0"/>
                <w:color w:val="000000"/>
                <w:kern w:val="0"/>
                <w:sz w:val="24"/>
                <w:szCs w:val="24"/>
                <w:u w:val="none"/>
                <w:lang w:val="en-US" w:eastAsia="zh-CN" w:bidi="ar"/>
              </w:rPr>
              <w:t>13043.02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上年结转结余</w:t>
            </w:r>
          </w:p>
        </w:tc>
        <w:tc>
          <w:tcPr>
            <w:tcW w:w="2216" w:type="dxa"/>
            <w:vAlign w:val="center"/>
          </w:tcPr>
          <w:p>
            <w:pPr>
              <w:keepNext w:val="0"/>
              <w:keepLines w:val="0"/>
              <w:widowControl/>
              <w:suppressLineNumbers w:val="0"/>
              <w:jc w:val="right"/>
              <w:textAlignment w:val="center"/>
              <w:rPr>
                <w:rFonts w:hint="default"/>
                <w:vertAlign w:val="baseline"/>
                <w:lang w:val="en-US"/>
              </w:rPr>
            </w:pPr>
            <w:r>
              <w:rPr>
                <w:rFonts w:hint="eastAsia" w:ascii="宋体" w:hAnsi="宋体" w:eastAsia="宋体" w:cs="宋体"/>
                <w:i w:val="0"/>
                <w:iCs w:val="0"/>
                <w:color w:val="000000"/>
                <w:kern w:val="0"/>
                <w:sz w:val="22"/>
                <w:szCs w:val="22"/>
                <w:u w:val="none"/>
                <w:lang w:val="en-US" w:eastAsia="zh-CN" w:bidi="ar"/>
              </w:rPr>
              <w:t>18.56</w:t>
            </w:r>
          </w:p>
        </w:tc>
        <w:tc>
          <w:tcPr>
            <w:tcW w:w="2734"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i w:val="0"/>
                <w:iCs w:val="0"/>
                <w:color w:val="000000"/>
                <w:kern w:val="0"/>
                <w:sz w:val="22"/>
                <w:szCs w:val="22"/>
                <w:u w:val="none"/>
                <w:lang w:val="en-US" w:eastAsia="zh-CN" w:bidi="ar"/>
              </w:rPr>
              <w:t>年终结转结余</w:t>
            </w:r>
          </w:p>
        </w:tc>
        <w:tc>
          <w:tcPr>
            <w:tcW w:w="2250" w:type="dxa"/>
            <w:vAlign w:val="center"/>
          </w:tcPr>
          <w:p>
            <w:pPr>
              <w:jc w:val="right"/>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6"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b/>
                <w:bCs/>
                <w:i w:val="0"/>
                <w:iCs w:val="0"/>
                <w:color w:val="000000"/>
                <w:kern w:val="0"/>
                <w:sz w:val="24"/>
                <w:szCs w:val="24"/>
                <w:u w:val="none"/>
                <w:lang w:val="en-US" w:eastAsia="zh-CN" w:bidi="ar"/>
              </w:rPr>
              <w:t>收    入    总    计</w:t>
            </w:r>
          </w:p>
        </w:tc>
        <w:tc>
          <w:tcPr>
            <w:tcW w:w="2216" w:type="dxa"/>
            <w:vAlign w:val="center"/>
          </w:tcPr>
          <w:p>
            <w:pPr>
              <w:keepNext w:val="0"/>
              <w:keepLines w:val="0"/>
              <w:widowControl/>
              <w:suppressLineNumbers w:val="0"/>
              <w:jc w:val="right"/>
              <w:textAlignment w:val="center"/>
              <w:rPr>
                <w:rFonts w:hint="default"/>
                <w:vertAlign w:val="baseline"/>
                <w:lang w:val="en-US"/>
              </w:rPr>
            </w:pPr>
            <w:r>
              <w:rPr>
                <w:rFonts w:hint="eastAsia" w:ascii="宋体" w:hAnsi="宋体" w:eastAsia="宋体" w:cs="宋体"/>
                <w:b/>
                <w:bCs/>
                <w:i w:val="0"/>
                <w:iCs w:val="0"/>
                <w:color w:val="000000"/>
                <w:kern w:val="0"/>
                <w:sz w:val="24"/>
                <w:szCs w:val="24"/>
                <w:u w:val="none"/>
                <w:lang w:val="en-US" w:eastAsia="zh-CN" w:bidi="ar"/>
              </w:rPr>
              <w:t>13043.02</w:t>
            </w:r>
          </w:p>
        </w:tc>
        <w:tc>
          <w:tcPr>
            <w:tcW w:w="2734" w:type="dxa"/>
            <w:vAlign w:val="center"/>
          </w:tcPr>
          <w:p>
            <w:pPr>
              <w:keepNext w:val="0"/>
              <w:keepLines w:val="0"/>
              <w:widowControl/>
              <w:suppressLineNumbers w:val="0"/>
              <w:jc w:val="center"/>
              <w:textAlignment w:val="center"/>
              <w:rPr>
                <w:vertAlign w:val="baseline"/>
              </w:rPr>
            </w:pPr>
            <w:r>
              <w:rPr>
                <w:rFonts w:hint="eastAsia" w:ascii="宋体" w:hAnsi="宋体" w:eastAsia="宋体" w:cs="宋体"/>
                <w:b/>
                <w:bCs/>
                <w:i w:val="0"/>
                <w:iCs w:val="0"/>
                <w:color w:val="000000"/>
                <w:kern w:val="0"/>
                <w:sz w:val="24"/>
                <w:szCs w:val="24"/>
                <w:u w:val="none"/>
                <w:lang w:val="en-US" w:eastAsia="zh-CN" w:bidi="ar"/>
              </w:rPr>
              <w:t>支    出    总    计</w:t>
            </w:r>
          </w:p>
        </w:tc>
        <w:tc>
          <w:tcPr>
            <w:tcW w:w="2250" w:type="dxa"/>
            <w:vAlign w:val="center"/>
          </w:tcPr>
          <w:p>
            <w:pPr>
              <w:keepNext w:val="0"/>
              <w:keepLines w:val="0"/>
              <w:widowControl/>
              <w:suppressLineNumbers w:val="0"/>
              <w:jc w:val="right"/>
              <w:textAlignment w:val="center"/>
              <w:rPr>
                <w:rFonts w:hint="default"/>
                <w:vertAlign w:val="baseline"/>
                <w:lang w:val="en-US"/>
              </w:rPr>
            </w:pPr>
            <w:r>
              <w:rPr>
                <w:rFonts w:hint="eastAsia" w:ascii="宋体" w:hAnsi="宋体" w:eastAsia="宋体" w:cs="宋体"/>
                <w:b/>
                <w:bCs/>
                <w:i w:val="0"/>
                <w:iCs w:val="0"/>
                <w:color w:val="000000"/>
                <w:kern w:val="0"/>
                <w:sz w:val="24"/>
                <w:szCs w:val="24"/>
                <w:u w:val="none"/>
                <w:lang w:val="en-US" w:eastAsia="zh-CN" w:bidi="ar"/>
              </w:rPr>
              <w:t>13043.02</w:t>
            </w:r>
          </w:p>
        </w:tc>
      </w:tr>
    </w:tbl>
    <w:p>
      <w:pPr>
        <w:pStyle w:val="12"/>
        <w:jc w:val="center"/>
        <w:rPr>
          <w:rFonts w:hint="eastAsia"/>
          <w:lang w:val="en-US" w:eastAsia="zh-CN"/>
        </w:rPr>
      </w:pPr>
    </w:p>
    <w:p>
      <w:pPr>
        <w:pStyle w:val="12"/>
        <w:jc w:val="center"/>
        <w:rPr>
          <w:rFonts w:hint="eastAsia"/>
          <w:lang w:val="en-US" w:eastAsia="zh-CN"/>
        </w:rPr>
      </w:pPr>
      <w:r>
        <w:rPr>
          <w:rFonts w:hint="eastAsia"/>
          <w:lang w:val="en-US" w:eastAsia="zh-CN"/>
        </w:rPr>
        <w:t>收入总表</w:t>
      </w:r>
    </w:p>
    <w:p>
      <w:pPr>
        <w:pStyle w:val="12"/>
        <w:jc w:val="right"/>
        <w:rPr>
          <w:rFonts w:hint="eastAsia"/>
          <w:lang w:val="en-US" w:eastAsia="zh-CN"/>
        </w:rPr>
      </w:pPr>
      <w:r>
        <w:rPr>
          <w:rFonts w:hint="eastAsia"/>
          <w:lang w:val="en-US" w:eastAsia="zh-CN"/>
        </w:rPr>
        <w:t>单位：万元</w:t>
      </w:r>
    </w:p>
    <w:tbl>
      <w:tblPr>
        <w:tblStyle w:val="21"/>
        <w:tblpPr w:leftFromText="180" w:rightFromText="180" w:vertAnchor="text" w:horzAnchor="page" w:tblpX="1052" w:tblpY="1290"/>
        <w:tblOverlap w:val="never"/>
        <w:tblW w:w="99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764"/>
        <w:gridCol w:w="821"/>
        <w:gridCol w:w="821"/>
        <w:gridCol w:w="746"/>
        <w:gridCol w:w="559"/>
        <w:gridCol w:w="367"/>
        <w:gridCol w:w="367"/>
        <w:gridCol w:w="569"/>
        <w:gridCol w:w="367"/>
        <w:gridCol w:w="367"/>
        <w:gridCol w:w="367"/>
        <w:gridCol w:w="367"/>
        <w:gridCol w:w="636"/>
        <w:gridCol w:w="569"/>
        <w:gridCol w:w="551"/>
        <w:gridCol w:w="367"/>
        <w:gridCol w:w="367"/>
        <w:gridCol w:w="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4"/>
                <w:szCs w:val="14"/>
                <w:u w:val="none"/>
                <w:lang w:val="en-US" w:eastAsia="zh-CN" w:bidi="ar"/>
              </w:rPr>
            </w:pPr>
            <w:r>
              <w:rPr>
                <w:rFonts w:hint="eastAsia" w:ascii="宋体" w:hAnsi="宋体" w:eastAsia="宋体" w:cs="宋体"/>
                <w:b/>
                <w:bCs/>
                <w:i w:val="0"/>
                <w:iCs w:val="0"/>
                <w:color w:val="000000"/>
                <w:kern w:val="0"/>
                <w:sz w:val="14"/>
                <w:szCs w:val="14"/>
                <w:u w:val="none"/>
                <w:lang w:val="en-US" w:eastAsia="zh-CN" w:bidi="ar"/>
              </w:rPr>
              <w:t>部门（单位）</w:t>
            </w:r>
          </w:p>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代码</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部门（单位）名称</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合计</w:t>
            </w:r>
          </w:p>
        </w:tc>
        <w:tc>
          <w:tcPr>
            <w:tcW w:w="47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本年收入</w:t>
            </w:r>
          </w:p>
        </w:tc>
        <w:tc>
          <w:tcPr>
            <w:tcW w:w="306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4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小计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一般公共预算</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政府性基金预算</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国有资本经营预算</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财政专户管理资金</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事业收入</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事业单位经营收入</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上级补助收入</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附属单位上缴收入</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其他收入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小计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一般公共预算</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政府性基金预算</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国有资本经营预算</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财政专户管理资金</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607</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r>
              <w:rPr>
                <w:rFonts w:hint="eastAsia" w:ascii="宋体" w:hAnsi="宋体" w:eastAsia="宋体" w:cs="宋体"/>
                <w:i w:val="0"/>
                <w:iCs w:val="0"/>
                <w:color w:val="000000"/>
                <w:kern w:val="0"/>
                <w:sz w:val="14"/>
                <w:szCs w:val="14"/>
                <w:u w:val="none"/>
                <w:lang w:val="en-US" w:eastAsia="zh-CN" w:bidi="ar"/>
              </w:rPr>
              <w:t>内蒙古自治区锡林郭勒盟民政局（部门）</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5"/>
                <w:szCs w:val="15"/>
                <w:u w:val="none"/>
                <w:lang w:val="en-US"/>
              </w:rPr>
            </w:pPr>
            <w:r>
              <w:rPr>
                <w:rFonts w:hint="eastAsia" w:ascii="宋体" w:hAnsi="宋体" w:eastAsia="宋体" w:cs="宋体"/>
                <w:b/>
                <w:bCs/>
                <w:i w:val="0"/>
                <w:iCs w:val="0"/>
                <w:color w:val="000000"/>
                <w:kern w:val="0"/>
                <w:sz w:val="15"/>
                <w:szCs w:val="15"/>
                <w:u w:val="none"/>
                <w:lang w:val="en-US" w:eastAsia="zh-CN" w:bidi="ar"/>
              </w:rPr>
              <w:t>13043.02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5"/>
                <w:szCs w:val="15"/>
                <w:u w:val="none"/>
                <w:lang w:val="en-US"/>
              </w:rPr>
            </w:pPr>
            <w:r>
              <w:rPr>
                <w:rFonts w:hint="eastAsia" w:ascii="宋体" w:hAnsi="宋体" w:eastAsia="宋体" w:cs="宋体"/>
                <w:b/>
                <w:bCs/>
                <w:i w:val="0"/>
                <w:iCs w:val="0"/>
                <w:color w:val="000000"/>
                <w:kern w:val="0"/>
                <w:sz w:val="15"/>
                <w:szCs w:val="15"/>
                <w:u w:val="none"/>
                <w:lang w:val="en-US" w:eastAsia="zh-CN" w:bidi="ar"/>
              </w:rPr>
              <w:t>13024.46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5"/>
                <w:szCs w:val="15"/>
                <w:u w:val="none"/>
                <w:lang w:val="en-US"/>
              </w:rPr>
            </w:pPr>
            <w:r>
              <w:rPr>
                <w:rFonts w:hint="eastAsia" w:ascii="宋体" w:hAnsi="宋体" w:eastAsia="宋体" w:cs="宋体"/>
                <w:b/>
                <w:bCs/>
                <w:i w:val="0"/>
                <w:iCs w:val="0"/>
                <w:color w:val="000000"/>
                <w:kern w:val="0"/>
                <w:sz w:val="15"/>
                <w:szCs w:val="15"/>
                <w:u w:val="none"/>
                <w:lang w:val="en-US" w:eastAsia="zh-CN" w:bidi="ar"/>
              </w:rPr>
              <w:t>1824.46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14"/>
                <w:szCs w:val="14"/>
                <w:u w:val="none"/>
                <w:lang w:val="en-US" w:eastAsia="zh-CN"/>
              </w:rPr>
            </w:pPr>
            <w:r>
              <w:rPr>
                <w:rFonts w:hint="eastAsia" w:ascii="宋体" w:hAnsi="宋体" w:eastAsia="宋体" w:cs="宋体"/>
                <w:b/>
                <w:bCs/>
                <w:i w:val="0"/>
                <w:iCs w:val="0"/>
                <w:color w:val="000000"/>
                <w:sz w:val="14"/>
                <w:szCs w:val="14"/>
                <w:u w:val="none"/>
                <w:lang w:val="en-US" w:eastAsia="zh-CN"/>
              </w:rPr>
              <w:t>11200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rPr>
            </w:pPr>
            <w:r>
              <w:rPr>
                <w:rFonts w:hint="eastAsia" w:ascii="宋体" w:hAnsi="宋体" w:eastAsia="宋体" w:cs="宋体"/>
                <w:b/>
                <w:bCs/>
                <w:i w:val="0"/>
                <w:iCs w:val="0"/>
                <w:color w:val="000000"/>
                <w:kern w:val="0"/>
                <w:sz w:val="14"/>
                <w:szCs w:val="14"/>
                <w:u w:val="none"/>
                <w:lang w:val="en-US" w:eastAsia="zh-CN" w:bidi="ar"/>
              </w:rPr>
              <w:t>18.56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14"/>
                <w:szCs w:val="14"/>
                <w:u w:val="none"/>
                <w:lang w:val="en-US" w:eastAsia="zh-CN"/>
              </w:rPr>
            </w:pPr>
            <w:r>
              <w:rPr>
                <w:rFonts w:hint="eastAsia" w:ascii="宋体" w:hAnsi="宋体" w:eastAsia="宋体" w:cs="宋体"/>
                <w:b/>
                <w:bCs/>
                <w:i w:val="0"/>
                <w:iCs w:val="0"/>
                <w:color w:val="000000"/>
                <w:sz w:val="14"/>
                <w:szCs w:val="14"/>
                <w:u w:val="none"/>
                <w:lang w:val="en-US" w:eastAsia="zh-CN"/>
              </w:rPr>
              <w:t>18.56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4"/>
                <w:szCs w:val="14"/>
                <w:u w:val="none"/>
                <w:lang w:val="en-US"/>
              </w:rPr>
            </w:pPr>
            <w:r>
              <w:rPr>
                <w:rFonts w:hint="eastAsia" w:ascii="宋体" w:hAnsi="宋体" w:eastAsia="宋体" w:cs="宋体"/>
                <w:i w:val="0"/>
                <w:iCs w:val="0"/>
                <w:color w:val="000000"/>
                <w:kern w:val="0"/>
                <w:sz w:val="14"/>
                <w:szCs w:val="14"/>
                <w:u w:val="none"/>
                <w:lang w:val="en-US" w:eastAsia="zh-CN" w:bidi="ar"/>
              </w:rPr>
              <w:t>607004</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4"/>
                <w:szCs w:val="14"/>
                <w:u w:val="none"/>
                <w:lang w:val="en-US"/>
              </w:rPr>
            </w:pPr>
            <w:r>
              <w:rPr>
                <w:rFonts w:hint="eastAsia" w:ascii="宋体" w:hAnsi="宋体" w:eastAsia="宋体" w:cs="宋体"/>
                <w:i w:val="0"/>
                <w:iCs w:val="0"/>
                <w:color w:val="000000"/>
                <w:kern w:val="0"/>
                <w:sz w:val="14"/>
                <w:szCs w:val="14"/>
                <w:u w:val="none"/>
                <w:lang w:val="en-US" w:eastAsia="zh-CN" w:bidi="ar"/>
              </w:rPr>
              <w:t>锡林郭勒盟安神医院</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5"/>
                <w:szCs w:val="15"/>
                <w:u w:val="none"/>
                <w:lang w:val="en-US"/>
              </w:rPr>
            </w:pPr>
            <w:r>
              <w:rPr>
                <w:rFonts w:hint="eastAsia" w:ascii="宋体" w:hAnsi="宋体" w:eastAsia="宋体" w:cs="宋体"/>
                <w:b/>
                <w:bCs/>
                <w:i w:val="0"/>
                <w:iCs w:val="0"/>
                <w:color w:val="000000"/>
                <w:kern w:val="0"/>
                <w:sz w:val="15"/>
                <w:szCs w:val="15"/>
                <w:u w:val="none"/>
                <w:lang w:val="en-US" w:eastAsia="zh-CN" w:bidi="ar"/>
              </w:rPr>
              <w:t>13043.02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5"/>
                <w:szCs w:val="15"/>
                <w:u w:val="none"/>
                <w:lang w:val="en-US"/>
              </w:rPr>
            </w:pPr>
            <w:r>
              <w:rPr>
                <w:rFonts w:hint="eastAsia" w:ascii="宋体" w:hAnsi="宋体" w:eastAsia="宋体" w:cs="宋体"/>
                <w:b/>
                <w:bCs/>
                <w:i w:val="0"/>
                <w:iCs w:val="0"/>
                <w:color w:val="000000"/>
                <w:kern w:val="0"/>
                <w:sz w:val="15"/>
                <w:szCs w:val="15"/>
                <w:u w:val="none"/>
                <w:lang w:val="en-US" w:eastAsia="zh-CN" w:bidi="ar"/>
              </w:rPr>
              <w:t>13024.46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15"/>
                <w:szCs w:val="15"/>
                <w:u w:val="none"/>
                <w:lang w:val="en-US"/>
              </w:rPr>
            </w:pPr>
            <w:r>
              <w:rPr>
                <w:rFonts w:hint="eastAsia" w:ascii="宋体" w:hAnsi="宋体" w:eastAsia="宋体" w:cs="宋体"/>
                <w:i w:val="0"/>
                <w:iCs w:val="0"/>
                <w:color w:val="000000"/>
                <w:kern w:val="0"/>
                <w:sz w:val="15"/>
                <w:szCs w:val="15"/>
                <w:u w:val="none"/>
                <w:lang w:val="en-US" w:eastAsia="zh-CN" w:bidi="ar"/>
              </w:rPr>
              <w:t>1824.46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4"/>
                <w:szCs w:val="14"/>
                <w:u w:val="none"/>
                <w:lang w:val="en-US" w:eastAsia="zh-CN"/>
              </w:rPr>
            </w:pPr>
            <w:r>
              <w:rPr>
                <w:rFonts w:hint="eastAsia" w:ascii="宋体" w:hAnsi="宋体" w:eastAsia="宋体" w:cs="宋体"/>
                <w:i w:val="0"/>
                <w:iCs w:val="0"/>
                <w:color w:val="000000"/>
                <w:sz w:val="14"/>
                <w:szCs w:val="14"/>
                <w:u w:val="none"/>
                <w:lang w:val="en-US" w:eastAsia="zh-CN"/>
              </w:rPr>
              <w:t>11200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eastAsia="zh-CN"/>
              </w:rPr>
            </w:pPr>
            <w:r>
              <w:rPr>
                <w:rFonts w:hint="eastAsia" w:ascii="宋体" w:hAnsi="宋体" w:eastAsia="宋体" w:cs="宋体"/>
                <w:b/>
                <w:bCs/>
                <w:i w:val="0"/>
                <w:iCs w:val="0"/>
                <w:color w:val="000000"/>
                <w:sz w:val="14"/>
                <w:szCs w:val="14"/>
                <w:u w:val="none"/>
                <w:lang w:val="en-US" w:eastAsia="zh-CN"/>
              </w:rPr>
              <w:t>18.56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4"/>
                <w:szCs w:val="14"/>
                <w:u w:val="none"/>
                <w:lang w:val="en-US" w:eastAsia="zh-CN"/>
              </w:rPr>
            </w:pPr>
            <w:r>
              <w:rPr>
                <w:rFonts w:hint="eastAsia" w:ascii="宋体" w:hAnsi="宋体" w:eastAsia="宋体" w:cs="宋体"/>
                <w:i w:val="0"/>
                <w:iCs w:val="0"/>
                <w:color w:val="000000"/>
                <w:sz w:val="14"/>
                <w:szCs w:val="14"/>
                <w:u w:val="none"/>
                <w:lang w:val="en-US" w:eastAsia="zh-CN"/>
              </w:rPr>
              <w:t>18.56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4"/>
                <w:szCs w:val="14"/>
                <w:u w:val="none"/>
                <w:lang w:val="en-US" w:eastAsia="zh-CN"/>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5"/>
                <w:szCs w:val="15"/>
                <w:u w:val="none"/>
                <w:lang w:val="en-US"/>
              </w:rPr>
            </w:pPr>
            <w:r>
              <w:rPr>
                <w:rFonts w:hint="eastAsia" w:ascii="宋体" w:hAnsi="宋体" w:eastAsia="宋体" w:cs="宋体"/>
                <w:b/>
                <w:bCs/>
                <w:i w:val="0"/>
                <w:iCs w:val="0"/>
                <w:color w:val="000000"/>
                <w:kern w:val="0"/>
                <w:sz w:val="15"/>
                <w:szCs w:val="15"/>
                <w:u w:val="none"/>
                <w:lang w:val="en-US" w:eastAsia="zh-CN" w:bidi="ar"/>
              </w:rPr>
              <w:t>13043.02</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5"/>
                <w:szCs w:val="15"/>
                <w:u w:val="none"/>
                <w:lang w:val="en-US"/>
              </w:rPr>
            </w:pPr>
            <w:r>
              <w:rPr>
                <w:rFonts w:hint="eastAsia" w:ascii="宋体" w:hAnsi="宋体" w:eastAsia="宋体" w:cs="宋体"/>
                <w:b/>
                <w:bCs/>
                <w:i w:val="0"/>
                <w:iCs w:val="0"/>
                <w:color w:val="000000"/>
                <w:kern w:val="0"/>
                <w:sz w:val="15"/>
                <w:szCs w:val="15"/>
                <w:u w:val="none"/>
                <w:lang w:val="en-US" w:eastAsia="zh-CN" w:bidi="ar"/>
              </w:rPr>
              <w:t>13024.46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15"/>
                <w:szCs w:val="15"/>
                <w:u w:val="none"/>
                <w:lang w:val="en-US"/>
              </w:rPr>
            </w:pPr>
            <w:r>
              <w:rPr>
                <w:rFonts w:hint="eastAsia" w:ascii="宋体" w:hAnsi="宋体" w:eastAsia="宋体" w:cs="宋体"/>
                <w:b/>
                <w:bCs/>
                <w:i w:val="0"/>
                <w:iCs w:val="0"/>
                <w:color w:val="000000"/>
                <w:kern w:val="0"/>
                <w:sz w:val="15"/>
                <w:szCs w:val="15"/>
                <w:u w:val="none"/>
                <w:lang w:val="en-US" w:eastAsia="zh-CN" w:bidi="ar"/>
              </w:rPr>
              <w:t>1824.46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14"/>
                <w:szCs w:val="14"/>
                <w:u w:val="none"/>
                <w:lang w:val="en-US" w:eastAsia="zh-CN"/>
              </w:rPr>
            </w:pPr>
            <w:r>
              <w:rPr>
                <w:rFonts w:hint="eastAsia" w:ascii="宋体" w:hAnsi="宋体" w:eastAsia="宋体" w:cs="宋体"/>
                <w:b/>
                <w:bCs/>
                <w:i w:val="0"/>
                <w:iCs w:val="0"/>
                <w:color w:val="000000"/>
                <w:sz w:val="14"/>
                <w:szCs w:val="14"/>
                <w:u w:val="none"/>
                <w:lang w:val="en-US" w:eastAsia="zh-CN"/>
              </w:rPr>
              <w:t>11200</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4"/>
                <w:szCs w:val="14"/>
                <w:u w:val="none"/>
                <w:lang w:val="en-US" w:eastAsia="zh-CN"/>
              </w:rPr>
            </w:pPr>
            <w:r>
              <w:rPr>
                <w:rFonts w:hint="eastAsia" w:ascii="宋体" w:hAnsi="宋体" w:eastAsia="宋体" w:cs="宋体"/>
                <w:b/>
                <w:bCs/>
                <w:i w:val="0"/>
                <w:iCs w:val="0"/>
                <w:color w:val="000000"/>
                <w:sz w:val="14"/>
                <w:szCs w:val="14"/>
                <w:u w:val="none"/>
                <w:lang w:val="en-US" w:eastAsia="zh-CN"/>
              </w:rPr>
              <w:t>18.56</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14"/>
                <w:szCs w:val="14"/>
                <w:u w:val="none"/>
                <w:lang w:val="en-US" w:eastAsia="zh-CN"/>
              </w:rPr>
            </w:pPr>
            <w:r>
              <w:rPr>
                <w:rFonts w:hint="eastAsia" w:ascii="宋体" w:hAnsi="宋体" w:eastAsia="宋体" w:cs="宋体"/>
                <w:b/>
                <w:bCs/>
                <w:i w:val="0"/>
                <w:iCs w:val="0"/>
                <w:color w:val="000000"/>
                <w:sz w:val="14"/>
                <w:szCs w:val="14"/>
                <w:u w:val="none"/>
                <w:lang w:val="en-US" w:eastAsia="zh-CN"/>
              </w:rPr>
              <w:t>18.56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997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4"/>
                <w:szCs w:val="14"/>
                <w:u w:val="none"/>
              </w:rPr>
            </w:pPr>
            <w:r>
              <w:rPr>
                <w:rFonts w:ascii="宋体" w:hAnsi="宋体" w:eastAsia="宋体" w:cs="宋体"/>
                <w:i w:val="0"/>
                <w:iCs w:val="0"/>
                <w:color w:val="000000"/>
                <w:kern w:val="0"/>
                <w:sz w:val="14"/>
                <w:szCs w:val="14"/>
                <w:u w:val="none"/>
                <w:lang w:val="en-US" w:eastAsia="zh-CN" w:bidi="ar"/>
              </w:rPr>
              <w:t>口径说明：     取值口径为部门预算编制二上细化表     本年收入     一般公共预算：【资金性质】=111一般公共预算资金，112一般债券，113外国政府和国际组织贷款，114外国政府和国际组织赠款；【资金来源】=本级财力—11年初安排，12预估，上级补助—21年初安排，22预估     政府性基金预算：【资金性质】=121政府性基金预算资金 ，122专项债券；【资金来源】=本级财力—11年初安排，12预估，上级补助—21年初安排，22预估     国有资本经营预算：【资金性质】=13国有资本经营预算资金；【资金来源】=本级财力—11年初安排，12预估，上级补助—21年初安排，22预估     财政专户管理资金：【资金性质】=2财政专户管理资金；【资金来源】=本级财力—13预计结转, 14年终结转, 15预计结余, 16年终结余, 上级补助—23预计结转, 24年终结转, 25预计结余, 26年终结余 事业收入，事业单位经营收入，上级补助收入，附属单位上缴收入，其他收入：取值口径为部门预算编制二上细化【收入预算表】     上年结转结余     一般公共预算：【资金性质】=111一般公共预算资金，112一般债券，113外国政府和国际组织贷款，114外国政府和国际组织赠款；【资金来源】≠本级财力—11年初安排，12预估，上级补助—21年初安排，22预估     政府性基金预算：【资金性质】=121政府性基金预算资金 ，122专项债券；【资金来源】≠本级财力—11年初安排，12预估，上级补助—21年初安排，22预估     国有资本经营预算：【资金性质】=13国有资本经营预算资金；【资金来源】≠本级财力—11年初安排，12预估，上级补助—21年初安排，22预估     财政专户管理资金：【资金性质】=2财政专户管理资金；【资金来源】≠本级财力—11年初安排，12预估，上级补助—21年初安排，22预估     单位资金：【资金性质】=31事业收入资金，32上级补助收入资金，33附属单位上缴收入资金，34事业单位经营收入资金，39其他收入资金；【资金来源】≠本级财力—11年初安排，12预估，上级补助—21年初安排，22预估</w:t>
            </w:r>
          </w:p>
        </w:tc>
      </w:tr>
    </w:tbl>
    <w:p>
      <w:pPr>
        <w:pStyle w:val="2"/>
        <w:jc w:val="both"/>
      </w:pPr>
    </w:p>
    <w:p/>
    <w:p>
      <w:pPr>
        <w:pStyle w:val="2"/>
      </w:pPr>
    </w:p>
    <w:p/>
    <w:p>
      <w:pPr>
        <w:pStyle w:val="2"/>
      </w:pPr>
    </w:p>
    <w:p/>
    <w:p>
      <w:pPr>
        <w:pStyle w:val="12"/>
        <w:jc w:val="center"/>
        <w:rPr>
          <w:rFonts w:hint="eastAsia"/>
          <w:lang w:val="en-US" w:eastAsia="zh-CN"/>
        </w:rPr>
      </w:pPr>
    </w:p>
    <w:p>
      <w:pPr>
        <w:pStyle w:val="12"/>
        <w:jc w:val="center"/>
        <w:rPr>
          <w:rFonts w:hint="eastAsia"/>
          <w:lang w:val="en-US" w:eastAsia="zh-CN"/>
        </w:rPr>
      </w:pPr>
      <w:r>
        <w:rPr>
          <w:rFonts w:hint="eastAsia"/>
          <w:lang w:val="en-US" w:eastAsia="zh-CN"/>
        </w:rPr>
        <w:t>支出总表</w:t>
      </w:r>
    </w:p>
    <w:p>
      <w:pPr>
        <w:pStyle w:val="12"/>
        <w:jc w:val="right"/>
        <w:rPr>
          <w:rFonts w:hint="eastAsia"/>
          <w:lang w:val="en-US" w:eastAsia="zh-CN"/>
        </w:rPr>
      </w:pPr>
      <w:r>
        <w:rPr>
          <w:rFonts w:hint="eastAsia"/>
          <w:lang w:val="en-US" w:eastAsia="zh-CN"/>
        </w:rPr>
        <w:t>单位：万元</w:t>
      </w:r>
    </w:p>
    <w:tbl>
      <w:tblPr>
        <w:tblStyle w:val="21"/>
        <w:tblW w:w="106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4"/>
        <w:gridCol w:w="2355"/>
        <w:gridCol w:w="1327"/>
        <w:gridCol w:w="1421"/>
        <w:gridCol w:w="1170"/>
        <w:gridCol w:w="864"/>
        <w:gridCol w:w="1127"/>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科目编码</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科目名称</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基本支出</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项目支出</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事业单位经营支出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上缴上级支出</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教育支出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30.00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30.00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20508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进修及培训</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30.00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2050803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培训支出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30.00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206</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科学技术支出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5.00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20603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应用研究</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5.00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2060399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4"/>
                <w:szCs w:val="24"/>
                <w:u w:val="none"/>
                <w:lang w:val="en-US" w:eastAsia="zh-CN" w:bidi="ar"/>
              </w:rPr>
              <w:t>其他应用研究支出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5.00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22"/>
                <w:szCs w:val="22"/>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5.00</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124.43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124.43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124.43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33.41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91.02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12772.99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12759.43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13.56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21002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公立医院</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12716.48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12716.48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2100205</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精神病医院</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12716.48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12716.48 </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21004</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公共卫生</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13.56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2100409</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重大公共卫生服务</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13.56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42.95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42.95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34.46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公务员医疗补助</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8.49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110.60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110.60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110.60</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110.60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88.06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88.06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2210203</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购房补贴</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22.54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22.54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jc w:val="center"/>
        </w:trPr>
        <w:tc>
          <w:tcPr>
            <w:tcW w:w="35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 xml:space="preserve">13043.02 </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12,994.46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kern w:val="0"/>
                <w:sz w:val="24"/>
                <w:szCs w:val="24"/>
                <w:u w:val="none"/>
                <w:lang w:val="en-US" w:eastAsia="zh-CN" w:bidi="ar"/>
              </w:rPr>
              <w:t>48.56</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jc w:val="center"/>
        </w:trPr>
        <w:tc>
          <w:tcPr>
            <w:tcW w:w="106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口径说明：     取值口径为部门预算编制二上细化表。     基本支出：【项目类别】包含为11工资福利支出，12对个人和家庭补助支出，21公用经费。     项目支出：【项目类别】不包含11工资福利支出，12对个人和家庭补助支出，21公用经费，【资金性质】不等于34事业单位经营收入资金。     事业单位经营支出：取值口径为部门预算编制二上细化【收入预算表】。     上缴上级支出：取值口径为部门预算编制二上细化【收入预算表】。     对附属单位补助支出：取值口径为部门预算编制二上细化【收入预算表】。</w:t>
            </w:r>
          </w:p>
        </w:tc>
      </w:tr>
    </w:tbl>
    <w:p>
      <w:pPr>
        <w:pStyle w:val="12"/>
        <w:jc w:val="center"/>
        <w:rPr>
          <w:rFonts w:hint="eastAsia"/>
          <w:lang w:val="en-US" w:eastAsia="zh-CN"/>
        </w:rPr>
      </w:pPr>
    </w:p>
    <w:p>
      <w:pPr>
        <w:pStyle w:val="12"/>
        <w:jc w:val="center"/>
        <w:rPr>
          <w:rFonts w:hint="eastAsia"/>
          <w:lang w:val="en-US" w:eastAsia="zh-CN"/>
        </w:rPr>
      </w:pPr>
      <w:r>
        <w:rPr>
          <w:rFonts w:hint="eastAsia"/>
          <w:lang w:val="en-US" w:eastAsia="zh-CN"/>
        </w:rPr>
        <w:t>财政拨款收支总表</w:t>
      </w:r>
    </w:p>
    <w:p>
      <w:pPr>
        <w:pStyle w:val="12"/>
        <w:jc w:val="right"/>
        <w:rPr>
          <w:rFonts w:hint="eastAsia"/>
          <w:lang w:val="en-US" w:eastAsia="zh-CN"/>
        </w:rPr>
      </w:pPr>
      <w:r>
        <w:rPr>
          <w:rFonts w:hint="eastAsia"/>
          <w:lang w:val="en-US" w:eastAsia="zh-CN"/>
        </w:rPr>
        <w:t>单位：万元</w:t>
      </w:r>
    </w:p>
    <w:tbl>
      <w:tblPr>
        <w:tblStyle w:val="21"/>
        <w:tblW w:w="99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62"/>
        <w:gridCol w:w="1680"/>
        <w:gridCol w:w="3698"/>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48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      入</w:t>
            </w:r>
          </w:p>
        </w:tc>
        <w:tc>
          <w:tcPr>
            <w:tcW w:w="50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一、本年收入</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1,824.46</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1,824.46</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二、上年结转</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8"/>
                <w:szCs w:val="28"/>
                <w:u w:val="none"/>
                <w:lang w:val="en-US" w:eastAsia="zh-CN" w:bidi="ar"/>
              </w:rPr>
              <w:t>18.56</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18.56</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（七）文化体育旅游与传媒支出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124.43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（九）社会保险基金支出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（十）卫生健康支出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1,572.99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（十一）节能环保支出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（十二）城市社区支出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（十三）农林水支出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（十四）交通运输支出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（十五）资源勘探工业信息等支出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（十六）商业服务业等支出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（十七）金融支出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（十八）援助其他地区支出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（十九）自然资源海洋气象等支出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（二十）住房保障支出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（二十一）粮油物资储备支出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（二十二）国有资本经营预算支出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（二十三）灾害防治及应急管理支出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（二十四）预备费</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（二十五）其他支出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（二十六）转移性支付</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（二十七）债务还本支出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（二十八）债务付息支出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（二十九）债务发行费用支出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 xml:space="preserve">（三十）抗疫特别国债还本支出 </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（三十一）与中央财政往来性支出</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二、年终结转结余</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31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    入    总    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1,843.02</w:t>
            </w:r>
          </w:p>
        </w:tc>
        <w:tc>
          <w:tcPr>
            <w:tcW w:w="3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支    出    总    计</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1,843.02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jc w:val="center"/>
        </w:trPr>
        <w:tc>
          <w:tcPr>
            <w:tcW w:w="99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口径说明：     一、本年收入：取值口径与[1收支总表]收入取值一致     二、上年结转：     （一）一般公共预算拨款【资金性质】=111一般公共预算资金 ，114外国政府和国际组织赠款；     （二）政府性基金预算拨款【资金性质】=121政府性基金预算资金 ，122专项债券；     （三）国有资本经营预算拨款【资金性质】=13国有资本经营预算资金；     【资金来源】=本级财力-13预计结转, 14年终结转, 15预计结余, 16年终结余, 上级补助-23预计结转, 24年终结转, 25预计结余, 26年终结余     三、本年支出：根据支出功能分类进行对应取数</w:t>
            </w:r>
          </w:p>
        </w:tc>
      </w:tr>
    </w:tbl>
    <w:p>
      <w:pPr>
        <w:pStyle w:val="12"/>
        <w:ind w:left="0" w:leftChars="0" w:firstLine="0" w:firstLineChars="0"/>
        <w:jc w:val="both"/>
        <w:rPr>
          <w:rFonts w:hint="default"/>
          <w:lang w:val="en-US" w:eastAsia="zh-CN"/>
        </w:rPr>
      </w:pPr>
    </w:p>
    <w:p>
      <w:pPr>
        <w:pStyle w:val="12"/>
        <w:jc w:val="center"/>
        <w:rPr>
          <w:rFonts w:hint="eastAsia"/>
          <w:lang w:val="en-US" w:eastAsia="zh-CN"/>
        </w:rPr>
      </w:pPr>
      <w:r>
        <w:rPr>
          <w:rFonts w:hint="eastAsia"/>
          <w:lang w:val="en-US" w:eastAsia="zh-CN"/>
        </w:rPr>
        <w:t>一般公共预算支出表</w:t>
      </w:r>
    </w:p>
    <w:p>
      <w:pPr>
        <w:pStyle w:val="12"/>
        <w:jc w:val="center"/>
        <w:rPr>
          <w:rFonts w:hint="eastAsia"/>
          <w:lang w:val="en-US" w:eastAsia="zh-CN"/>
        </w:rPr>
      </w:pPr>
    </w:p>
    <w:p>
      <w:pPr>
        <w:pStyle w:val="12"/>
        <w:jc w:val="right"/>
        <w:rPr>
          <w:rFonts w:hint="eastAsia"/>
          <w:lang w:val="en-US" w:eastAsia="zh-CN"/>
        </w:rPr>
      </w:pPr>
      <w:r>
        <w:rPr>
          <w:rFonts w:hint="eastAsia"/>
          <w:lang w:val="en-US" w:eastAsia="zh-CN"/>
        </w:rPr>
        <w:t>单位：万元</w:t>
      </w:r>
    </w:p>
    <w:tbl>
      <w:tblPr>
        <w:tblStyle w:val="21"/>
        <w:tblW w:w="112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9"/>
        <w:gridCol w:w="3112"/>
        <w:gridCol w:w="1184"/>
        <w:gridCol w:w="1662"/>
        <w:gridCol w:w="1241"/>
        <w:gridCol w:w="967"/>
        <w:gridCol w:w="1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jc w:val="center"/>
        </w:trPr>
        <w:tc>
          <w:tcPr>
            <w:tcW w:w="1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3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1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13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1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小计</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w:t>
            </w:r>
          </w:p>
        </w:tc>
        <w:tc>
          <w:tcPr>
            <w:tcW w:w="13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教育支出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30.00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20508</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进修及培训</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30.00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2050803</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培训支出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30.00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206</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5.00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20603</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应用研究</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5.00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2060399</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其他应用研究支出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5.00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124.43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124.43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124.43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20805</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124.43</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124.43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124.43</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2080501</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行政单位离退休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33.41</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33.41</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33.41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2080505</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91.02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91.02</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91.02</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210</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1,572.99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1,559.43</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1,369.76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189.67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21002</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公立医院</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1,516.48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1,516.48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1,326.81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189.67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2100205</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精神病医院</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1,516.48</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1,516.48</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1,326.81</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189.67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21004</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公共卫生</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13.56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2100409</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480" w:firstLineChars="20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重大公共卫生服务</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13.56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21011</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行政事业单位医疗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42.95</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42.95</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42.95</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2101102</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34.46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34.46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34.46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2101103</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公务员医疗补助</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8.49</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8.49</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8.49</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221</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110.60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110.60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110.60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22102</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110.60</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110.60</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110.60</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88.06</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88.06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88.06</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2210203</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购房补贴</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22.54</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22.54</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22.54</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jc w:val="center"/>
        </w:trPr>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ascii="宋体" w:hAnsi="宋体" w:eastAsia="宋体" w:cs="宋体"/>
                <w:b/>
                <w:bCs/>
                <w:i w:val="0"/>
                <w:iCs w:val="0"/>
                <w:color w:val="000000"/>
                <w:kern w:val="0"/>
                <w:sz w:val="22"/>
                <w:szCs w:val="22"/>
                <w:u w:val="none"/>
                <w:lang w:val="en-US" w:eastAsia="zh-CN" w:bidi="ar"/>
              </w:rPr>
              <w:t>1843.02</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ascii="宋体" w:hAnsi="宋体" w:eastAsia="宋体" w:cs="宋体"/>
                <w:b/>
                <w:bCs/>
                <w:i w:val="0"/>
                <w:iCs w:val="0"/>
                <w:color w:val="000000"/>
                <w:kern w:val="0"/>
                <w:sz w:val="22"/>
                <w:szCs w:val="22"/>
                <w:u w:val="none"/>
                <w:lang w:val="en-US" w:eastAsia="zh-CN" w:bidi="ar"/>
              </w:rPr>
              <w:t>1794.46</w:t>
            </w:r>
          </w:p>
        </w:tc>
        <w:tc>
          <w:tcPr>
            <w:tcW w:w="12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ascii="宋体" w:hAnsi="宋体" w:eastAsia="宋体" w:cs="宋体"/>
                <w:b/>
                <w:bCs/>
                <w:i w:val="0"/>
                <w:iCs w:val="0"/>
                <w:color w:val="000000"/>
                <w:kern w:val="0"/>
                <w:sz w:val="22"/>
                <w:szCs w:val="22"/>
                <w:u w:val="none"/>
                <w:lang w:val="en-US" w:eastAsia="zh-CN" w:bidi="ar"/>
              </w:rPr>
              <w:t>1604.79</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ascii="宋体" w:hAnsi="宋体" w:eastAsia="宋体" w:cs="宋体"/>
                <w:b/>
                <w:bCs/>
                <w:i w:val="0"/>
                <w:iCs w:val="0"/>
                <w:color w:val="000000"/>
                <w:kern w:val="0"/>
                <w:sz w:val="22"/>
                <w:szCs w:val="22"/>
                <w:u w:val="none"/>
                <w:lang w:val="en-US" w:eastAsia="zh-CN" w:bidi="ar"/>
              </w:rPr>
              <w:t>189.67</w:t>
            </w:r>
          </w:p>
        </w:tc>
        <w:tc>
          <w:tcPr>
            <w:tcW w:w="1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ascii="宋体" w:hAnsi="宋体" w:eastAsia="宋体" w:cs="宋体"/>
                <w:b/>
                <w:bCs/>
                <w:i w:val="0"/>
                <w:iCs w:val="0"/>
                <w:color w:val="000000"/>
                <w:kern w:val="0"/>
                <w:sz w:val="22"/>
                <w:szCs w:val="22"/>
                <w:u w:val="none"/>
                <w:lang w:val="en-US" w:eastAsia="zh-CN" w:bidi="ar"/>
              </w:rPr>
              <w:t>48.56</w:t>
            </w:r>
          </w:p>
        </w:tc>
      </w:tr>
    </w:tbl>
    <w:p>
      <w:pPr>
        <w:pStyle w:val="12"/>
        <w:jc w:val="center"/>
        <w:rPr>
          <w:rFonts w:hint="eastAsia"/>
          <w:lang w:val="zh-CN" w:eastAsia="zh-CN"/>
        </w:rPr>
      </w:pPr>
    </w:p>
    <w:p>
      <w:pPr>
        <w:pStyle w:val="12"/>
        <w:jc w:val="center"/>
        <w:rPr>
          <w:rFonts w:hint="eastAsia"/>
          <w:lang w:val="zh-CN" w:eastAsia="zh-CN"/>
        </w:rPr>
      </w:pPr>
    </w:p>
    <w:p>
      <w:pPr>
        <w:pStyle w:val="12"/>
        <w:jc w:val="center"/>
        <w:rPr>
          <w:rFonts w:hint="eastAsia"/>
          <w:lang w:val="zh-CN" w:eastAsia="zh-CN"/>
        </w:rPr>
      </w:pPr>
    </w:p>
    <w:p>
      <w:pPr>
        <w:pStyle w:val="12"/>
        <w:jc w:val="center"/>
        <w:rPr>
          <w:rFonts w:hint="eastAsia"/>
          <w:lang w:val="zh-CN" w:eastAsia="zh-CN"/>
        </w:rPr>
      </w:pPr>
    </w:p>
    <w:p>
      <w:pPr>
        <w:pStyle w:val="12"/>
        <w:jc w:val="center"/>
        <w:rPr>
          <w:rFonts w:hint="eastAsia"/>
          <w:lang w:val="zh-CN" w:eastAsia="zh-CN"/>
        </w:rPr>
      </w:pPr>
    </w:p>
    <w:p>
      <w:pPr>
        <w:pStyle w:val="12"/>
        <w:jc w:val="center"/>
        <w:rPr>
          <w:rFonts w:hint="eastAsia"/>
          <w:lang w:val="zh-CN" w:eastAsia="zh-CN"/>
        </w:rPr>
      </w:pPr>
    </w:p>
    <w:p>
      <w:pPr>
        <w:pStyle w:val="12"/>
        <w:jc w:val="center"/>
        <w:rPr>
          <w:rFonts w:hint="eastAsia"/>
          <w:lang w:val="zh-CN" w:eastAsia="zh-CN"/>
        </w:rPr>
      </w:pPr>
    </w:p>
    <w:p>
      <w:pPr>
        <w:pStyle w:val="12"/>
        <w:jc w:val="center"/>
        <w:rPr>
          <w:rFonts w:hint="eastAsia"/>
          <w:lang w:val="zh-CN" w:eastAsia="zh-CN"/>
        </w:rPr>
      </w:pPr>
    </w:p>
    <w:p>
      <w:pPr>
        <w:pStyle w:val="12"/>
        <w:jc w:val="center"/>
        <w:rPr>
          <w:rFonts w:hint="eastAsia"/>
          <w:lang w:val="zh-CN" w:eastAsia="zh-CN"/>
        </w:rPr>
      </w:pPr>
    </w:p>
    <w:p>
      <w:pPr>
        <w:pStyle w:val="12"/>
        <w:jc w:val="center"/>
        <w:rPr>
          <w:rFonts w:hint="eastAsia"/>
          <w:lang w:val="zh-CN" w:eastAsia="zh-CN"/>
        </w:rPr>
      </w:pPr>
    </w:p>
    <w:p>
      <w:pPr>
        <w:pStyle w:val="12"/>
        <w:ind w:left="0" w:leftChars="0" w:firstLine="3840" w:firstLineChars="1600"/>
        <w:jc w:val="both"/>
        <w:rPr>
          <w:rFonts w:hint="eastAsia"/>
          <w:lang w:val="zh-CN" w:eastAsia="zh-CN"/>
        </w:rPr>
      </w:pPr>
      <w:r>
        <w:rPr>
          <w:rFonts w:hint="eastAsia"/>
          <w:lang w:val="zh-CN" w:eastAsia="zh-CN"/>
        </w:rPr>
        <w:t>一般公共预算基本支出表</w:t>
      </w:r>
    </w:p>
    <w:p>
      <w:pPr>
        <w:pStyle w:val="12"/>
        <w:jc w:val="right"/>
        <w:rPr>
          <w:rFonts w:hint="eastAsia"/>
          <w:lang w:val="en-US" w:eastAsia="zh-CN"/>
        </w:rPr>
      </w:pPr>
      <w:r>
        <w:rPr>
          <w:rFonts w:hint="eastAsia"/>
          <w:lang w:val="en-US" w:eastAsia="zh-CN"/>
        </w:rPr>
        <w:t>单位：万元</w:t>
      </w:r>
    </w:p>
    <w:tbl>
      <w:tblPr>
        <w:tblStyle w:val="21"/>
        <w:tblW w:w="102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5"/>
        <w:gridCol w:w="4877"/>
        <w:gridCol w:w="1245"/>
        <w:gridCol w:w="1245"/>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6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部门预算支出经济分类科目</w:t>
            </w:r>
          </w:p>
        </w:tc>
        <w:tc>
          <w:tcPr>
            <w:tcW w:w="37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人员经费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301</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工资福利支出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1559.84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1559.84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30101</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基本工资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273.88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273.88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30102</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津贴补贴</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121.4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121.4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30103</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奖金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69.4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69.4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30107</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绩效工资</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214.79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214.79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30108</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机关事业单位基本养老保险缴费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91.02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91.02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30110</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职工基本医疗保险缴费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34.46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34.46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30111</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公务员医疗补助缴费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8.49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8.49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30112</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其他社会保障缴费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3.98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3.98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30113</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住房公积金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88.06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88.06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30199</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其他工资福利支出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654.36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654.36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302</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商品和服务支出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189.67</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4"/>
                <w:szCs w:val="24"/>
                <w:u w:val="none"/>
                <w:lang w:val="en-US" w:eastAsia="zh-CN" w:bidi="ar"/>
              </w:rPr>
              <w:t>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30206</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电费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64.84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64.84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30207</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邮电费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30208</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取暖费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87.96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87.96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30228</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工会经费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14.68</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30229</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福利费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19.19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30231</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公务用车运行维护费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303</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对个人和家庭的补助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44.95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44.95</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30302</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退休费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33.41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33.41</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30305</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生活补助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4.64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4.64</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30399</w:t>
            </w:r>
          </w:p>
        </w:tc>
        <w:tc>
          <w:tcPr>
            <w:tcW w:w="48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 w:firstLineChars="10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4"/>
                <w:szCs w:val="24"/>
                <w:u w:val="none"/>
                <w:lang w:val="en-US" w:eastAsia="zh-CN" w:bidi="ar"/>
              </w:rPr>
              <w:t>其他对个人和家庭的补助</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6.9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6.9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1794.46</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1604.79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189.67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2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口径说明：     根据部门经济分类取值基本支出数据。</w:t>
            </w:r>
          </w:p>
        </w:tc>
      </w:tr>
    </w:tbl>
    <w:p>
      <w:pPr>
        <w:pStyle w:val="12"/>
        <w:jc w:val="center"/>
        <w:rPr>
          <w:rFonts w:hint="eastAsia"/>
          <w:lang w:val="en-US" w:eastAsia="zh-CN"/>
        </w:rPr>
      </w:pPr>
    </w:p>
    <w:p>
      <w:pPr>
        <w:pStyle w:val="12"/>
        <w:jc w:val="center"/>
        <w:rPr>
          <w:rFonts w:hint="eastAsia"/>
          <w:lang w:val="en-US" w:eastAsia="zh-CN"/>
        </w:rPr>
      </w:pPr>
    </w:p>
    <w:p>
      <w:pPr>
        <w:pStyle w:val="12"/>
        <w:jc w:val="center"/>
        <w:rPr>
          <w:rFonts w:hint="eastAsia"/>
          <w:lang w:val="en-US" w:eastAsia="zh-CN"/>
        </w:rPr>
      </w:pPr>
    </w:p>
    <w:p>
      <w:pPr>
        <w:pStyle w:val="12"/>
        <w:jc w:val="center"/>
        <w:rPr>
          <w:rFonts w:hint="eastAsia"/>
          <w:lang w:val="en-US" w:eastAsia="zh-CN"/>
        </w:rPr>
      </w:pPr>
    </w:p>
    <w:p>
      <w:pPr>
        <w:pStyle w:val="12"/>
        <w:jc w:val="center"/>
        <w:rPr>
          <w:rFonts w:hint="eastAsia"/>
          <w:lang w:val="en-US" w:eastAsia="zh-CN"/>
        </w:rPr>
      </w:pPr>
    </w:p>
    <w:p>
      <w:pPr>
        <w:pStyle w:val="12"/>
        <w:jc w:val="center"/>
        <w:rPr>
          <w:rFonts w:hint="eastAsia"/>
          <w:lang w:val="en-US" w:eastAsia="zh-CN"/>
        </w:rPr>
      </w:pPr>
    </w:p>
    <w:p>
      <w:pPr>
        <w:pStyle w:val="12"/>
        <w:jc w:val="center"/>
        <w:rPr>
          <w:rFonts w:hint="eastAsia"/>
          <w:lang w:val="en-US" w:eastAsia="zh-CN"/>
        </w:rPr>
      </w:pPr>
    </w:p>
    <w:p>
      <w:pPr>
        <w:pStyle w:val="12"/>
        <w:jc w:val="center"/>
        <w:rPr>
          <w:rFonts w:hint="eastAsia"/>
          <w:lang w:val="en-US" w:eastAsia="zh-CN"/>
        </w:rPr>
      </w:pPr>
    </w:p>
    <w:p>
      <w:pPr>
        <w:pStyle w:val="12"/>
        <w:jc w:val="center"/>
        <w:rPr>
          <w:rFonts w:hint="eastAsia"/>
          <w:lang w:val="en-US" w:eastAsia="zh-CN"/>
        </w:rPr>
      </w:pPr>
    </w:p>
    <w:p>
      <w:pPr>
        <w:pStyle w:val="12"/>
        <w:jc w:val="center"/>
        <w:rPr>
          <w:rFonts w:hint="eastAsia"/>
          <w:lang w:val="en-US" w:eastAsia="zh-CN"/>
        </w:rPr>
      </w:pPr>
    </w:p>
    <w:p>
      <w:pPr>
        <w:pStyle w:val="12"/>
        <w:jc w:val="center"/>
        <w:rPr>
          <w:rFonts w:hint="eastAsia"/>
          <w:lang w:val="en-US" w:eastAsia="zh-CN"/>
        </w:rPr>
      </w:pPr>
    </w:p>
    <w:p>
      <w:pPr>
        <w:pStyle w:val="12"/>
        <w:jc w:val="center"/>
        <w:rPr>
          <w:rFonts w:hint="eastAsia"/>
          <w:lang w:val="zh-CN" w:eastAsia="zh-CN"/>
        </w:rPr>
      </w:pPr>
      <w:r>
        <w:rPr>
          <w:rFonts w:hint="eastAsia"/>
          <w:lang w:val="en-US" w:eastAsia="zh-CN"/>
        </w:rPr>
        <w:t>一般公共预算“三公”经费支出表</w:t>
      </w:r>
    </w:p>
    <w:p>
      <w:pPr>
        <w:pStyle w:val="12"/>
        <w:jc w:val="center"/>
        <w:rPr>
          <w:rFonts w:hint="eastAsia"/>
          <w:lang w:val="zh-CN" w:eastAsia="zh-CN"/>
        </w:rPr>
      </w:pPr>
    </w:p>
    <w:p>
      <w:pPr>
        <w:pStyle w:val="12"/>
        <w:jc w:val="right"/>
        <w:rPr>
          <w:rFonts w:hint="eastAsia"/>
          <w:lang w:val="en-US" w:eastAsia="zh-CN"/>
        </w:rPr>
      </w:pPr>
      <w:r>
        <w:rPr>
          <w:rFonts w:hint="eastAsia"/>
          <w:lang w:val="en-US" w:eastAsia="zh-CN"/>
        </w:rPr>
        <w:t>单位：万元</w:t>
      </w:r>
    </w:p>
    <w:tbl>
      <w:tblPr>
        <w:tblStyle w:val="21"/>
        <w:tblpPr w:leftFromText="180" w:rightFromText="180" w:vertAnchor="text" w:horzAnchor="page" w:tblpX="562" w:tblpY="322"/>
        <w:tblOverlap w:val="never"/>
        <w:tblW w:w="10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1"/>
        <w:gridCol w:w="502"/>
        <w:gridCol w:w="579"/>
        <w:gridCol w:w="502"/>
        <w:gridCol w:w="502"/>
        <w:gridCol w:w="502"/>
        <w:gridCol w:w="502"/>
        <w:gridCol w:w="502"/>
        <w:gridCol w:w="579"/>
        <w:gridCol w:w="502"/>
        <w:gridCol w:w="515"/>
        <w:gridCol w:w="515"/>
        <w:gridCol w:w="515"/>
        <w:gridCol w:w="579"/>
        <w:gridCol w:w="579"/>
        <w:gridCol w:w="579"/>
        <w:gridCol w:w="576"/>
        <w:gridCol w:w="577"/>
        <w:gridCol w:w="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单位名称</w:t>
            </w:r>
          </w:p>
        </w:tc>
        <w:tc>
          <w:tcPr>
            <w:tcW w:w="308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202</w:t>
            </w:r>
            <w:r>
              <w:rPr>
                <w:rFonts w:hint="eastAsia" w:ascii="宋体" w:hAnsi="宋体" w:eastAsia="宋体" w:cs="宋体"/>
                <w:b/>
                <w:bCs/>
                <w:i w:val="0"/>
                <w:iCs w:val="0"/>
                <w:color w:val="000000"/>
                <w:kern w:val="0"/>
                <w:sz w:val="18"/>
                <w:szCs w:val="18"/>
                <w:u w:val="none"/>
                <w:lang w:val="en-US" w:eastAsia="zh-CN" w:bidi="ar"/>
              </w:rPr>
              <w:t>4</w:t>
            </w:r>
            <w:r>
              <w:rPr>
                <w:rFonts w:ascii="宋体" w:hAnsi="宋体" w:eastAsia="宋体" w:cs="宋体"/>
                <w:b/>
                <w:bCs/>
                <w:i w:val="0"/>
                <w:iCs w:val="0"/>
                <w:color w:val="000000"/>
                <w:kern w:val="0"/>
                <w:sz w:val="18"/>
                <w:szCs w:val="18"/>
                <w:u w:val="none"/>
                <w:lang w:val="en-US" w:eastAsia="zh-CN" w:bidi="ar"/>
              </w:rPr>
              <w:t>年预算数</w:t>
            </w:r>
          </w:p>
        </w:tc>
        <w:tc>
          <w:tcPr>
            <w:tcW w:w="312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202</w:t>
            </w:r>
            <w:r>
              <w:rPr>
                <w:rFonts w:hint="eastAsia" w:ascii="宋体" w:hAnsi="宋体" w:eastAsia="宋体" w:cs="宋体"/>
                <w:b/>
                <w:bCs/>
                <w:i w:val="0"/>
                <w:iCs w:val="0"/>
                <w:color w:val="000000"/>
                <w:kern w:val="0"/>
                <w:sz w:val="18"/>
                <w:szCs w:val="18"/>
                <w:u w:val="none"/>
                <w:lang w:val="en-US" w:eastAsia="zh-CN" w:bidi="ar"/>
              </w:rPr>
              <w:t>4</w:t>
            </w:r>
            <w:r>
              <w:rPr>
                <w:rFonts w:ascii="宋体" w:hAnsi="宋体" w:eastAsia="宋体" w:cs="宋体"/>
                <w:b/>
                <w:bCs/>
                <w:i w:val="0"/>
                <w:iCs w:val="0"/>
                <w:color w:val="000000"/>
                <w:kern w:val="0"/>
                <w:sz w:val="18"/>
                <w:szCs w:val="18"/>
                <w:u w:val="none"/>
                <w:lang w:val="en-US" w:eastAsia="zh-CN" w:bidi="ar"/>
              </w:rPr>
              <w:t>年执行数</w:t>
            </w:r>
          </w:p>
        </w:tc>
        <w:tc>
          <w:tcPr>
            <w:tcW w:w="34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202</w:t>
            </w:r>
            <w:r>
              <w:rPr>
                <w:rFonts w:hint="eastAsia" w:ascii="宋体" w:hAnsi="宋体" w:eastAsia="宋体" w:cs="宋体"/>
                <w:b/>
                <w:bCs/>
                <w:i w:val="0"/>
                <w:iCs w:val="0"/>
                <w:color w:val="000000"/>
                <w:kern w:val="0"/>
                <w:sz w:val="18"/>
                <w:szCs w:val="18"/>
                <w:u w:val="none"/>
                <w:lang w:val="en-US" w:eastAsia="zh-CN" w:bidi="ar"/>
              </w:rPr>
              <w:t>5</w:t>
            </w:r>
            <w:r>
              <w:rPr>
                <w:rFonts w:ascii="宋体" w:hAnsi="宋体" w:eastAsia="宋体" w:cs="宋体"/>
                <w:b/>
                <w:bCs/>
                <w:i w:val="0"/>
                <w:iCs w:val="0"/>
                <w:color w:val="000000"/>
                <w:kern w:val="0"/>
                <w:sz w:val="18"/>
                <w:szCs w:val="18"/>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"三公"经费合计</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因公出国(境)费</w:t>
            </w:r>
          </w:p>
        </w:tc>
        <w:tc>
          <w:tcPr>
            <w:tcW w:w="1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公务用车购置及运行费</w:t>
            </w:r>
          </w:p>
        </w:tc>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公务接待费</w:t>
            </w:r>
          </w:p>
        </w:tc>
        <w:tc>
          <w:tcPr>
            <w:tcW w:w="5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"三公"经费合计</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因公出国(境)费</w:t>
            </w:r>
          </w:p>
        </w:tc>
        <w:tc>
          <w:tcPr>
            <w:tcW w:w="15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公务用车购置及运行费</w:t>
            </w:r>
          </w:p>
        </w:tc>
        <w:tc>
          <w:tcPr>
            <w:tcW w:w="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公务接待费</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"三公"经费合计</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因公出国(境)费</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公务用车购置及运行费</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小计</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公务用车购置费</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公务用车运行维护费</w:t>
            </w: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小计</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公务用车购置费</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公务用车运行维护费</w:t>
            </w:r>
          </w:p>
        </w:tc>
        <w:tc>
          <w:tcPr>
            <w:tcW w:w="5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小计</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公务用车购置费</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18"/>
                <w:szCs w:val="18"/>
                <w:u w:val="none"/>
              </w:rPr>
            </w:pPr>
            <w:r>
              <w:rPr>
                <w:rFonts w:ascii="宋体" w:hAnsi="宋体" w:eastAsia="宋体" w:cs="宋体"/>
                <w:b/>
                <w:bCs/>
                <w:i w:val="0"/>
                <w:iCs w:val="0"/>
                <w:color w:val="000000"/>
                <w:kern w:val="0"/>
                <w:sz w:val="18"/>
                <w:szCs w:val="18"/>
                <w:u w:val="none"/>
                <w:lang w:val="en-US" w:eastAsia="zh-CN" w:bidi="ar"/>
              </w:rPr>
              <w:t>公务用车运行维护费</w:t>
            </w: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607004-锡林郭勒盟安神医院</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2</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2</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r>
              <w:rPr>
                <w:rFonts w:ascii="宋体" w:hAnsi="宋体" w:eastAsia="宋体" w:cs="宋体"/>
                <w:b/>
                <w:bCs/>
                <w:i w:val="0"/>
                <w:iCs w:val="0"/>
                <w:color w:val="000000"/>
                <w:kern w:val="0"/>
                <w:sz w:val="18"/>
                <w:szCs w:val="18"/>
                <w:u w:val="none"/>
                <w:lang w:val="en-US" w:eastAsia="zh-CN" w:bidi="ar"/>
              </w:rPr>
              <w:t>.00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r>
              <w:rPr>
                <w:rFonts w:ascii="宋体" w:hAnsi="宋体" w:eastAsia="宋体" w:cs="宋体"/>
                <w:b/>
                <w:bCs/>
                <w:i w:val="0"/>
                <w:iCs w:val="0"/>
                <w:color w:val="000000"/>
                <w:kern w:val="0"/>
                <w:sz w:val="18"/>
                <w:szCs w:val="18"/>
                <w:u w:val="none"/>
                <w:lang w:val="en-US" w:eastAsia="zh-CN" w:bidi="ar"/>
              </w:rPr>
              <w:t>.00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ascii="宋体" w:hAnsi="宋体" w:eastAsia="宋体" w:cs="宋体"/>
                <w:i w:val="0"/>
                <w:iCs w:val="0"/>
                <w:color w:val="000000"/>
                <w:kern w:val="0"/>
                <w:sz w:val="18"/>
                <w:szCs w:val="18"/>
                <w:u w:val="none"/>
                <w:lang w:val="en-US" w:eastAsia="zh-CN" w:bidi="ar"/>
              </w:rPr>
              <w:t>.00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0995"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口径说明：     根据部门（单位）取值三公经费，部门经济分类分别为：     30212-因公出国（境）费用, 31013-公务用车购置, 30913-公务用车购置, 30231-公务用车运行维护费, 30217-公务接待费。</w:t>
            </w:r>
          </w:p>
        </w:tc>
      </w:tr>
    </w:tbl>
    <w:p>
      <w:pPr>
        <w:pStyle w:val="12"/>
        <w:jc w:val="center"/>
        <w:rPr>
          <w:rFonts w:hint="eastAsia"/>
          <w:lang w:val="en-US" w:eastAsia="zh-CN"/>
        </w:rPr>
      </w:pPr>
    </w:p>
    <w:p>
      <w:pPr>
        <w:pStyle w:val="12"/>
        <w:jc w:val="center"/>
        <w:rPr>
          <w:rFonts w:hint="eastAsia"/>
          <w:lang w:val="en-US" w:eastAsia="zh-CN"/>
        </w:rPr>
      </w:pPr>
    </w:p>
    <w:p>
      <w:pPr>
        <w:pStyle w:val="12"/>
        <w:jc w:val="center"/>
        <w:rPr>
          <w:rFonts w:hint="eastAsia"/>
          <w:lang w:val="en-US" w:eastAsia="zh-CN"/>
        </w:rPr>
      </w:pPr>
      <w:r>
        <w:rPr>
          <w:rFonts w:hint="eastAsia"/>
          <w:lang w:val="en-US" w:eastAsia="zh-CN"/>
        </w:rPr>
        <w:t>政府性基金预算支出表</w:t>
      </w:r>
    </w:p>
    <w:p>
      <w:pPr>
        <w:pStyle w:val="12"/>
        <w:jc w:val="right"/>
        <w:rPr>
          <w:rFonts w:hint="eastAsia"/>
          <w:lang w:val="en-US" w:eastAsia="zh-CN"/>
        </w:rPr>
      </w:pPr>
      <w:r>
        <w:rPr>
          <w:rFonts w:hint="eastAsia"/>
          <w:lang w:val="en-US" w:eastAsia="zh-CN"/>
        </w:rPr>
        <w:t>单位：万元</w:t>
      </w:r>
    </w:p>
    <w:p>
      <w:pPr>
        <w:pStyle w:val="9"/>
        <w:spacing w:before="5" w:after="1"/>
        <w:rPr>
          <w:sz w:val="10"/>
        </w:rPr>
      </w:pPr>
    </w:p>
    <w:tbl>
      <w:tblPr>
        <w:tblStyle w:val="21"/>
        <w:tblW w:w="9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3195"/>
        <w:gridCol w:w="1785"/>
        <w:gridCol w:w="1785"/>
        <w:gridCol w:w="1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jc w:val="center"/>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31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53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31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      计</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94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口径说明：   【资金性质】=121政府性基金预算资金 ，122专项债券</w:t>
            </w:r>
          </w:p>
        </w:tc>
      </w:tr>
    </w:tbl>
    <w:p>
      <w:pPr>
        <w:pStyle w:val="5"/>
        <w:ind w:left="568"/>
        <w:rPr>
          <w:rFonts w:hint="eastAsia" w:ascii="黑体" w:eastAsia="黑体"/>
        </w:rPr>
      </w:pPr>
      <w:r>
        <w:t>本单位 202</w:t>
      </w:r>
      <w:r>
        <w:rPr>
          <w:rFonts w:hint="eastAsia" w:eastAsia="宋体"/>
          <w:lang w:val="en-US" w:eastAsia="zh-CN"/>
        </w:rPr>
        <w:t>5</w:t>
      </w:r>
      <w:r>
        <w:t>年无</w:t>
      </w:r>
      <w:r>
        <w:rPr>
          <w:rFonts w:hint="eastAsia" w:ascii="黑体" w:eastAsia="黑体"/>
        </w:rPr>
        <w:t>政府性基金预算支出</w:t>
      </w:r>
    </w:p>
    <w:p>
      <w:pPr>
        <w:rPr>
          <w:rFonts w:hint="eastAsia" w:ascii="黑体" w:eastAsia="黑体"/>
        </w:rPr>
      </w:pPr>
    </w:p>
    <w:p>
      <w:pPr>
        <w:pStyle w:val="2"/>
      </w:pPr>
    </w:p>
    <w:p>
      <w:pPr>
        <w:pStyle w:val="12"/>
        <w:jc w:val="center"/>
        <w:rPr>
          <w:rFonts w:hint="eastAsia"/>
          <w:lang w:val="en-US" w:eastAsia="zh-CN"/>
        </w:rPr>
      </w:pPr>
      <w:r>
        <w:rPr>
          <w:rFonts w:hint="eastAsia"/>
          <w:lang w:val="en-US" w:eastAsia="zh-CN"/>
        </w:rPr>
        <w:t>国有资本经营预算支出表</w:t>
      </w:r>
    </w:p>
    <w:p>
      <w:pPr>
        <w:pStyle w:val="12"/>
        <w:jc w:val="right"/>
        <w:rPr>
          <w:rFonts w:hint="eastAsia"/>
          <w:lang w:val="en-US" w:eastAsia="zh-CN"/>
        </w:rPr>
      </w:pPr>
    </w:p>
    <w:p>
      <w:pPr>
        <w:pStyle w:val="12"/>
        <w:jc w:val="right"/>
        <w:rPr>
          <w:rFonts w:hint="eastAsia"/>
          <w:lang w:val="en-US" w:eastAsia="zh-CN"/>
        </w:rPr>
      </w:pPr>
      <w:r>
        <w:rPr>
          <w:rFonts w:hint="eastAsia"/>
          <w:lang w:val="en-US" w:eastAsia="zh-CN"/>
        </w:rPr>
        <w:t>单位：万元</w:t>
      </w:r>
    </w:p>
    <w:p>
      <w:pPr>
        <w:pStyle w:val="9"/>
        <w:spacing w:before="8" w:after="1"/>
        <w:rPr>
          <w:sz w:val="15"/>
        </w:rPr>
      </w:pPr>
    </w:p>
    <w:tbl>
      <w:tblPr>
        <w:tblStyle w:val="21"/>
        <w:tblW w:w="0" w:type="auto"/>
        <w:tblInd w:w="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8"/>
        <w:gridCol w:w="1988"/>
        <w:gridCol w:w="1988"/>
        <w:gridCol w:w="1988"/>
        <w:gridCol w:w="19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88" w:type="dxa"/>
            <w:vMerge w:val="restart"/>
          </w:tcPr>
          <w:p>
            <w:pPr>
              <w:pStyle w:val="41"/>
              <w:rPr>
                <w:sz w:val="12"/>
              </w:rPr>
            </w:pPr>
          </w:p>
          <w:p>
            <w:pPr>
              <w:pStyle w:val="41"/>
              <w:rPr>
                <w:sz w:val="12"/>
              </w:rPr>
            </w:pPr>
          </w:p>
          <w:p>
            <w:pPr>
              <w:pStyle w:val="41"/>
              <w:rPr>
                <w:sz w:val="14"/>
              </w:rPr>
            </w:pPr>
          </w:p>
          <w:p>
            <w:pPr>
              <w:pStyle w:val="41"/>
              <w:ind w:left="107"/>
              <w:rPr>
                <w:b/>
                <w:sz w:val="12"/>
              </w:rPr>
            </w:pPr>
            <w:r>
              <w:rPr>
                <w:b/>
                <w:sz w:val="12"/>
              </w:rPr>
              <w:t>科目编码</w:t>
            </w:r>
          </w:p>
        </w:tc>
        <w:tc>
          <w:tcPr>
            <w:tcW w:w="1988" w:type="dxa"/>
            <w:vMerge w:val="restart"/>
          </w:tcPr>
          <w:p>
            <w:pPr>
              <w:pStyle w:val="41"/>
              <w:rPr>
                <w:sz w:val="12"/>
              </w:rPr>
            </w:pPr>
          </w:p>
          <w:p>
            <w:pPr>
              <w:pStyle w:val="41"/>
              <w:rPr>
                <w:sz w:val="12"/>
              </w:rPr>
            </w:pPr>
          </w:p>
          <w:p>
            <w:pPr>
              <w:pStyle w:val="41"/>
              <w:rPr>
                <w:sz w:val="14"/>
              </w:rPr>
            </w:pPr>
          </w:p>
          <w:p>
            <w:pPr>
              <w:pStyle w:val="41"/>
              <w:ind w:left="106"/>
              <w:rPr>
                <w:b/>
                <w:sz w:val="12"/>
              </w:rPr>
            </w:pPr>
            <w:r>
              <w:rPr>
                <w:b/>
                <w:sz w:val="12"/>
              </w:rPr>
              <w:t>科目名称</w:t>
            </w:r>
          </w:p>
        </w:tc>
        <w:tc>
          <w:tcPr>
            <w:tcW w:w="5964" w:type="dxa"/>
            <w:gridSpan w:val="3"/>
          </w:tcPr>
          <w:p>
            <w:pPr>
              <w:pStyle w:val="41"/>
              <w:spacing w:before="9"/>
              <w:rPr>
                <w:sz w:val="15"/>
              </w:rPr>
            </w:pPr>
          </w:p>
          <w:p>
            <w:pPr>
              <w:pStyle w:val="41"/>
              <w:ind w:left="108"/>
              <w:rPr>
                <w:b/>
                <w:sz w:val="12"/>
              </w:rPr>
            </w:pPr>
            <w:r>
              <w:rPr>
                <w:b/>
                <w:sz w:val="12"/>
              </w:rPr>
              <w:t>本年国有资本经营预算支出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88" w:type="dxa"/>
            <w:vMerge w:val="continue"/>
            <w:tcBorders>
              <w:top w:val="nil"/>
            </w:tcBorders>
          </w:tcPr>
          <w:p>
            <w:pPr>
              <w:rPr>
                <w:sz w:val="2"/>
                <w:szCs w:val="2"/>
              </w:rPr>
            </w:pPr>
          </w:p>
        </w:tc>
        <w:tc>
          <w:tcPr>
            <w:tcW w:w="1988" w:type="dxa"/>
            <w:vMerge w:val="continue"/>
            <w:tcBorders>
              <w:top w:val="nil"/>
            </w:tcBorders>
          </w:tcPr>
          <w:p>
            <w:pPr>
              <w:rPr>
                <w:sz w:val="2"/>
                <w:szCs w:val="2"/>
              </w:rPr>
            </w:pPr>
          </w:p>
        </w:tc>
        <w:tc>
          <w:tcPr>
            <w:tcW w:w="1988" w:type="dxa"/>
          </w:tcPr>
          <w:p>
            <w:pPr>
              <w:pStyle w:val="41"/>
              <w:spacing w:before="9"/>
              <w:rPr>
                <w:sz w:val="15"/>
              </w:rPr>
            </w:pPr>
          </w:p>
          <w:p>
            <w:pPr>
              <w:pStyle w:val="41"/>
              <w:spacing w:before="1"/>
              <w:ind w:left="108"/>
              <w:rPr>
                <w:b/>
                <w:sz w:val="12"/>
              </w:rPr>
            </w:pPr>
            <w:r>
              <w:rPr>
                <w:b/>
                <w:sz w:val="12"/>
              </w:rPr>
              <w:t>合计</w:t>
            </w:r>
          </w:p>
        </w:tc>
        <w:tc>
          <w:tcPr>
            <w:tcW w:w="1988" w:type="dxa"/>
          </w:tcPr>
          <w:p>
            <w:pPr>
              <w:pStyle w:val="41"/>
              <w:spacing w:before="9"/>
              <w:rPr>
                <w:sz w:val="15"/>
              </w:rPr>
            </w:pPr>
          </w:p>
          <w:p>
            <w:pPr>
              <w:pStyle w:val="41"/>
              <w:spacing w:before="1"/>
              <w:ind w:left="107"/>
              <w:rPr>
                <w:b/>
                <w:sz w:val="12"/>
              </w:rPr>
            </w:pPr>
            <w:r>
              <w:rPr>
                <w:b/>
                <w:sz w:val="12"/>
              </w:rPr>
              <w:t>基本支出</w:t>
            </w:r>
          </w:p>
        </w:tc>
        <w:tc>
          <w:tcPr>
            <w:tcW w:w="1988" w:type="dxa"/>
          </w:tcPr>
          <w:p>
            <w:pPr>
              <w:pStyle w:val="41"/>
              <w:spacing w:before="9"/>
              <w:rPr>
                <w:sz w:val="15"/>
              </w:rPr>
            </w:pPr>
          </w:p>
          <w:p>
            <w:pPr>
              <w:pStyle w:val="41"/>
              <w:spacing w:before="1"/>
              <w:ind w:left="106"/>
              <w:rPr>
                <w:b/>
                <w:sz w:val="12"/>
              </w:rPr>
            </w:pPr>
            <w:r>
              <w:rPr>
                <w:b/>
                <w:sz w:val="12"/>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1988" w:type="dxa"/>
          </w:tcPr>
          <w:p>
            <w:pPr>
              <w:pStyle w:val="41"/>
              <w:rPr>
                <w:rFonts w:ascii="Times New Roman"/>
                <w:sz w:val="12"/>
              </w:rPr>
            </w:pPr>
          </w:p>
        </w:tc>
        <w:tc>
          <w:tcPr>
            <w:tcW w:w="1988" w:type="dxa"/>
          </w:tcPr>
          <w:p>
            <w:pPr>
              <w:pStyle w:val="41"/>
              <w:rPr>
                <w:rFonts w:ascii="Times New Roman"/>
                <w:sz w:val="12"/>
              </w:rPr>
            </w:pPr>
          </w:p>
        </w:tc>
        <w:tc>
          <w:tcPr>
            <w:tcW w:w="1988" w:type="dxa"/>
          </w:tcPr>
          <w:p>
            <w:pPr>
              <w:pStyle w:val="41"/>
              <w:rPr>
                <w:rFonts w:ascii="Times New Roman"/>
                <w:sz w:val="12"/>
              </w:rPr>
            </w:pPr>
          </w:p>
        </w:tc>
        <w:tc>
          <w:tcPr>
            <w:tcW w:w="1988" w:type="dxa"/>
          </w:tcPr>
          <w:p>
            <w:pPr>
              <w:pStyle w:val="41"/>
              <w:rPr>
                <w:rFonts w:ascii="Times New Roman"/>
                <w:sz w:val="12"/>
              </w:rPr>
            </w:pPr>
          </w:p>
        </w:tc>
        <w:tc>
          <w:tcPr>
            <w:tcW w:w="1988" w:type="dxa"/>
          </w:tcPr>
          <w:p>
            <w:pPr>
              <w:pStyle w:val="41"/>
              <w:rPr>
                <w:rFonts w:ascii="Times New Roman"/>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1988" w:type="dxa"/>
          </w:tcPr>
          <w:p>
            <w:pPr>
              <w:pStyle w:val="41"/>
              <w:rPr>
                <w:rFonts w:ascii="Times New Roman"/>
                <w:sz w:val="12"/>
              </w:rPr>
            </w:pPr>
          </w:p>
        </w:tc>
        <w:tc>
          <w:tcPr>
            <w:tcW w:w="1988" w:type="dxa"/>
          </w:tcPr>
          <w:p>
            <w:pPr>
              <w:pStyle w:val="41"/>
              <w:rPr>
                <w:rFonts w:ascii="Times New Roman"/>
                <w:sz w:val="12"/>
              </w:rPr>
            </w:pPr>
          </w:p>
        </w:tc>
        <w:tc>
          <w:tcPr>
            <w:tcW w:w="1988" w:type="dxa"/>
          </w:tcPr>
          <w:p>
            <w:pPr>
              <w:pStyle w:val="41"/>
              <w:rPr>
                <w:rFonts w:ascii="Times New Roman"/>
                <w:sz w:val="12"/>
              </w:rPr>
            </w:pPr>
          </w:p>
        </w:tc>
        <w:tc>
          <w:tcPr>
            <w:tcW w:w="1988" w:type="dxa"/>
          </w:tcPr>
          <w:p>
            <w:pPr>
              <w:pStyle w:val="41"/>
              <w:rPr>
                <w:rFonts w:ascii="Times New Roman"/>
                <w:sz w:val="12"/>
              </w:rPr>
            </w:pPr>
          </w:p>
        </w:tc>
        <w:tc>
          <w:tcPr>
            <w:tcW w:w="1988" w:type="dxa"/>
          </w:tcPr>
          <w:p>
            <w:pPr>
              <w:pStyle w:val="41"/>
              <w:rPr>
                <w:rFonts w:ascii="Times New Roman"/>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1988" w:type="dxa"/>
          </w:tcPr>
          <w:p>
            <w:pPr>
              <w:pStyle w:val="41"/>
              <w:rPr>
                <w:rFonts w:ascii="Times New Roman"/>
                <w:sz w:val="12"/>
              </w:rPr>
            </w:pPr>
          </w:p>
        </w:tc>
        <w:tc>
          <w:tcPr>
            <w:tcW w:w="1988" w:type="dxa"/>
          </w:tcPr>
          <w:p>
            <w:pPr>
              <w:pStyle w:val="41"/>
              <w:rPr>
                <w:rFonts w:ascii="Times New Roman"/>
                <w:sz w:val="12"/>
              </w:rPr>
            </w:pPr>
          </w:p>
        </w:tc>
        <w:tc>
          <w:tcPr>
            <w:tcW w:w="1988" w:type="dxa"/>
          </w:tcPr>
          <w:p>
            <w:pPr>
              <w:pStyle w:val="41"/>
              <w:rPr>
                <w:rFonts w:ascii="Times New Roman"/>
                <w:sz w:val="12"/>
              </w:rPr>
            </w:pPr>
          </w:p>
        </w:tc>
        <w:tc>
          <w:tcPr>
            <w:tcW w:w="1988" w:type="dxa"/>
          </w:tcPr>
          <w:p>
            <w:pPr>
              <w:pStyle w:val="41"/>
              <w:rPr>
                <w:rFonts w:ascii="Times New Roman"/>
                <w:sz w:val="12"/>
              </w:rPr>
            </w:pPr>
          </w:p>
        </w:tc>
        <w:tc>
          <w:tcPr>
            <w:tcW w:w="1988" w:type="dxa"/>
          </w:tcPr>
          <w:p>
            <w:pPr>
              <w:pStyle w:val="41"/>
              <w:rPr>
                <w:rFonts w:ascii="Times New Roman"/>
                <w:sz w:val="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3976" w:type="dxa"/>
            <w:gridSpan w:val="2"/>
          </w:tcPr>
          <w:p>
            <w:pPr>
              <w:pStyle w:val="41"/>
              <w:spacing w:before="10"/>
              <w:rPr>
                <w:sz w:val="15"/>
              </w:rPr>
            </w:pPr>
          </w:p>
          <w:p>
            <w:pPr>
              <w:pStyle w:val="41"/>
              <w:ind w:left="107"/>
              <w:rPr>
                <w:b/>
                <w:sz w:val="12"/>
              </w:rPr>
            </w:pPr>
            <w:r>
              <w:rPr>
                <w:b/>
                <w:sz w:val="12"/>
              </w:rPr>
              <w:t>合计</w:t>
            </w:r>
          </w:p>
        </w:tc>
        <w:tc>
          <w:tcPr>
            <w:tcW w:w="1988" w:type="dxa"/>
          </w:tcPr>
          <w:p>
            <w:pPr>
              <w:pStyle w:val="41"/>
              <w:rPr>
                <w:rFonts w:ascii="Times New Roman"/>
                <w:sz w:val="12"/>
              </w:rPr>
            </w:pPr>
          </w:p>
        </w:tc>
        <w:tc>
          <w:tcPr>
            <w:tcW w:w="1988" w:type="dxa"/>
          </w:tcPr>
          <w:p>
            <w:pPr>
              <w:pStyle w:val="41"/>
              <w:rPr>
                <w:rFonts w:ascii="Times New Roman"/>
                <w:sz w:val="12"/>
              </w:rPr>
            </w:pPr>
          </w:p>
        </w:tc>
        <w:tc>
          <w:tcPr>
            <w:tcW w:w="1988" w:type="dxa"/>
          </w:tcPr>
          <w:p>
            <w:pPr>
              <w:pStyle w:val="41"/>
              <w:rPr>
                <w:rFonts w:ascii="Times New Roman"/>
                <w:sz w:val="12"/>
              </w:rPr>
            </w:pPr>
          </w:p>
        </w:tc>
      </w:tr>
    </w:tbl>
    <w:p>
      <w:pPr>
        <w:pStyle w:val="9"/>
        <w:spacing w:before="0"/>
        <w:rPr>
          <w:sz w:val="12"/>
        </w:rPr>
      </w:pPr>
    </w:p>
    <w:p>
      <w:pPr>
        <w:pStyle w:val="9"/>
        <w:spacing w:before="4"/>
        <w:rPr>
          <w:sz w:val="13"/>
        </w:rPr>
      </w:pPr>
    </w:p>
    <w:p>
      <w:pPr>
        <w:pStyle w:val="5"/>
        <w:ind w:left="568"/>
      </w:pPr>
      <w:r>
        <w:t>本单位 202</w:t>
      </w:r>
      <w:r>
        <w:rPr>
          <w:rFonts w:hint="eastAsia" w:eastAsia="宋体"/>
          <w:lang w:val="en-US" w:eastAsia="zh-CN"/>
        </w:rPr>
        <w:t>5</w:t>
      </w:r>
      <w:r>
        <w:t xml:space="preserve"> 年无国有资本经营预算支出</w:t>
      </w:r>
    </w:p>
    <w:p>
      <w:pPr>
        <w:pStyle w:val="2"/>
        <w:rPr>
          <w:rFonts w:hint="eastAsia" w:eastAsia="宋体"/>
          <w:lang w:val="en-US" w:eastAsia="zh-CN"/>
        </w:rPr>
      </w:pPr>
      <w:r>
        <w:rPr>
          <w:rFonts w:hint="eastAsia" w:eastAsia="宋体"/>
          <w:lang w:val="en-US" w:eastAsia="zh-CN"/>
        </w:rPr>
        <w:t>项目支出</w:t>
      </w:r>
    </w:p>
    <w:p>
      <w:pPr>
        <w:jc w:val="right"/>
        <w:rPr>
          <w:rFonts w:hint="default"/>
          <w:lang w:val="en-US" w:eastAsia="zh-CN"/>
        </w:rPr>
      </w:pPr>
      <w:r>
        <w:rPr>
          <w:rFonts w:hint="eastAsia" w:eastAsia="宋体"/>
          <w:lang w:val="en-US" w:eastAsia="zh-CN"/>
        </w:rPr>
        <w:t>单位：万元</w:t>
      </w:r>
    </w:p>
    <w:tbl>
      <w:tblPr>
        <w:tblStyle w:val="21"/>
        <w:tblW w:w="108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3"/>
        <w:gridCol w:w="2422"/>
        <w:gridCol w:w="636"/>
        <w:gridCol w:w="1655"/>
        <w:gridCol w:w="637"/>
        <w:gridCol w:w="569"/>
        <w:gridCol w:w="569"/>
        <w:gridCol w:w="450"/>
        <w:gridCol w:w="592"/>
        <w:gridCol w:w="703"/>
        <w:gridCol w:w="521"/>
        <w:gridCol w:w="521"/>
        <w:gridCol w:w="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类型</w:t>
            </w:r>
          </w:p>
        </w:tc>
        <w:tc>
          <w:tcPr>
            <w:tcW w:w="24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项目名称</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4"/>
                <w:szCs w:val="14"/>
                <w:u w:val="none"/>
                <w:lang w:val="en-US" w:eastAsia="zh-CN" w:bidi="ar"/>
              </w:rPr>
            </w:pPr>
            <w:r>
              <w:rPr>
                <w:rFonts w:hint="eastAsia" w:ascii="宋体" w:hAnsi="宋体" w:eastAsia="宋体" w:cs="宋体"/>
                <w:b/>
                <w:bCs/>
                <w:i w:val="0"/>
                <w:iCs w:val="0"/>
                <w:color w:val="000000"/>
                <w:kern w:val="0"/>
                <w:sz w:val="14"/>
                <w:szCs w:val="14"/>
                <w:u w:val="none"/>
                <w:lang w:val="en-US" w:eastAsia="zh-CN" w:bidi="ar"/>
              </w:rPr>
              <w:t>单位</w:t>
            </w:r>
          </w:p>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编码</w:t>
            </w:r>
          </w:p>
        </w:tc>
        <w:tc>
          <w:tcPr>
            <w:tcW w:w="16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项目单位</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合计</w:t>
            </w:r>
          </w:p>
        </w:tc>
        <w:tc>
          <w:tcPr>
            <w:tcW w:w="15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本年拨款</w:t>
            </w:r>
          </w:p>
        </w:tc>
        <w:tc>
          <w:tcPr>
            <w:tcW w:w="18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财政拨款结转结余</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财政专户管理资金</w:t>
            </w:r>
          </w:p>
        </w:tc>
        <w:tc>
          <w:tcPr>
            <w:tcW w:w="5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24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16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一般公共预算</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政府性基金预算</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国有资本经营预算</w:t>
            </w: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一般公共预算</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政府性基金预算</w:t>
            </w: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4"/>
                <w:szCs w:val="14"/>
                <w:u w:val="none"/>
              </w:rPr>
            </w:pPr>
            <w:r>
              <w:rPr>
                <w:rFonts w:hint="eastAsia" w:ascii="宋体" w:hAnsi="宋体" w:eastAsia="宋体" w:cs="宋体"/>
                <w:b/>
                <w:bCs/>
                <w:i w:val="0"/>
                <w:iCs w:val="0"/>
                <w:color w:val="000000"/>
                <w:kern w:val="0"/>
                <w:sz w:val="14"/>
                <w:szCs w:val="14"/>
                <w:u w:val="none"/>
                <w:lang w:val="en-US" w:eastAsia="zh-CN" w:bidi="ar"/>
              </w:rPr>
              <w:t>国有资本经营预算</w:t>
            </w: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c>
          <w:tcPr>
            <w:tcW w:w="5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4"/>
                <w:szCs w:val="1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专项资金项目</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精神卫生疾病防治</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607004</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锡林郭勒盟安神医院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2.39</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2.39</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4"/>
                <w:szCs w:val="14"/>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专项资金项目</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精神卫生疾病防治 内财社【2024】899号</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607004</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锡林郭勒盟安神医院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11.17</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11.17</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4"/>
                <w:szCs w:val="14"/>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专项资金项目</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新型蒙古灸联合康复训练治疗孤独症谱系障碍临床研究</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607004</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锡林郭勒盟安神医院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5.00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4"/>
                <w:szCs w:val="14"/>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部门预算项目</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医疗卫生服务骨干队伍培养项目</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607004</w:t>
            </w: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锡林郭勒盟安神医院</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30.00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4"/>
                <w:szCs w:val="14"/>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  计</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5"/>
                <w:szCs w:val="15"/>
                <w:u w:val="none"/>
              </w:rPr>
            </w:pP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6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15"/>
                <w:szCs w:val="15"/>
                <w:u w:val="none"/>
                <w:lang w:val="en-US" w:eastAsia="zh-CN" w:bidi="ar"/>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48.56</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18.56</w:t>
            </w:r>
          </w:p>
        </w:tc>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5"/>
                <w:szCs w:val="15"/>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5"/>
                <w:szCs w:val="15"/>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4"/>
                <w:szCs w:val="14"/>
                <w:u w:val="none"/>
                <w:lang w:val="en-US" w:eastAsia="zh-CN" w:bidi="ar"/>
              </w:rPr>
            </w:pPr>
          </w:p>
        </w:tc>
        <w:tc>
          <w:tcPr>
            <w:tcW w:w="5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kern w:val="0"/>
                <w:sz w:val="14"/>
                <w:szCs w:val="1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jc w:val="center"/>
        </w:trPr>
        <w:tc>
          <w:tcPr>
            <w:tcW w:w="10869"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4"/>
                <w:szCs w:val="14"/>
                <w:u w:val="none"/>
              </w:rPr>
            </w:pPr>
            <w:r>
              <w:rPr>
                <w:rFonts w:ascii="宋体" w:hAnsi="宋体" w:eastAsia="宋体" w:cs="宋体"/>
                <w:i w:val="0"/>
                <w:iCs w:val="0"/>
                <w:color w:val="000000"/>
                <w:kern w:val="0"/>
                <w:sz w:val="14"/>
                <w:szCs w:val="14"/>
                <w:u w:val="none"/>
                <w:lang w:val="en-US" w:eastAsia="zh-CN" w:bidi="ar"/>
              </w:rPr>
              <w:t>口径说明：     一般公共预算拨款收入：【资金性质】=111一般公共预算资金 ，114外国政府和国际组织赠款；【资金来源】=本级财力-11年初安排，12预估，上级补助-21年初安排，22预估     政府性基金预算拨款收入：【资金性质】=121政府性基金预算资金 ，122专项债券；【资金来源】=本级财力-11年初安排，12预估，上级补助-21年初安排，22预估     国有资本经营预算拨款收入：【资金性质】=13国有资本经营预算资金；【资金来源】=本级财力-11年初安排，12预估，上级补助-21年初安排，22预估     财政专户管理资金收入：【资金性质】=2财政专户管理资金；【资金来源】=本级财力-13预计结转, 14年终结转, 15预计结余, 16年终结余, 上级补助-23预计结转, 24年终结转, 25预计结余, 26年终结余     事业收入，事业单位经营收入，上级补助收入，附属单位上缴收入，其他收入：取值口径为部门预算编制二上细化【收入预算表】</w:t>
            </w:r>
          </w:p>
        </w:tc>
      </w:tr>
    </w:tbl>
    <w:p>
      <w:pPr>
        <w:pStyle w:val="2"/>
      </w:pPr>
    </w:p>
    <w:p/>
    <w:p>
      <w:pPr>
        <w:pStyle w:val="2"/>
        <w:rPr>
          <w:rFonts w:hint="eastAsia"/>
        </w:rPr>
      </w:pPr>
      <w:r>
        <w:rPr>
          <w:rFonts w:hint="eastAsia"/>
        </w:rPr>
        <w:t>政府采购预算表</w:t>
      </w:r>
    </w:p>
    <w:p>
      <w:pPr>
        <w:jc w:val="right"/>
        <w:rPr>
          <w:rFonts w:hint="default"/>
          <w:lang w:val="en-US" w:eastAsia="zh-CN"/>
        </w:rPr>
      </w:pPr>
      <w:r>
        <w:rPr>
          <w:rFonts w:hint="eastAsia" w:eastAsia="宋体"/>
          <w:lang w:val="en-US" w:eastAsia="zh-CN"/>
        </w:rPr>
        <w:t>单位：万元</w:t>
      </w:r>
    </w:p>
    <w:tbl>
      <w:tblPr>
        <w:tblStyle w:val="21"/>
        <w:tblW w:w="21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3"/>
        <w:gridCol w:w="1447"/>
        <w:gridCol w:w="900"/>
        <w:gridCol w:w="2176"/>
        <w:gridCol w:w="2264"/>
        <w:gridCol w:w="801"/>
        <w:gridCol w:w="1118"/>
        <w:gridCol w:w="1121"/>
        <w:gridCol w:w="945"/>
        <w:gridCol w:w="1315"/>
        <w:gridCol w:w="945"/>
        <w:gridCol w:w="945"/>
        <w:gridCol w:w="945"/>
        <w:gridCol w:w="1262"/>
        <w:gridCol w:w="945"/>
        <w:gridCol w:w="945"/>
        <w:gridCol w:w="945"/>
        <w:gridCol w:w="1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trPr>
        <w:tc>
          <w:tcPr>
            <w:tcW w:w="21600"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34"/>
                <w:szCs w:val="34"/>
                <w:u w:val="none"/>
              </w:rPr>
            </w:pPr>
            <w:r>
              <w:rPr>
                <w:rFonts w:hint="eastAsia" w:ascii="黑体" w:hAnsi="宋体" w:eastAsia="黑体" w:cs="黑体"/>
                <w:i w:val="0"/>
                <w:iCs w:val="0"/>
                <w:color w:val="000000"/>
                <w:kern w:val="0"/>
                <w:sz w:val="34"/>
                <w:szCs w:val="34"/>
                <w:u w:val="none"/>
                <w:lang w:val="en-US" w:eastAsia="zh-CN" w:bidi="ar"/>
              </w:rPr>
              <w:t>政府采购预算表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26615" w:type="dxa"/>
            <w:gridSpan w:val="11"/>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3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3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3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3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3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233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403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部门（单位）代码</w:t>
            </w:r>
          </w:p>
        </w:tc>
        <w:tc>
          <w:tcPr>
            <w:tcW w:w="3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部门（单位）名称</w:t>
            </w:r>
          </w:p>
        </w:tc>
        <w:tc>
          <w:tcPr>
            <w:tcW w:w="21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项目名称</w:t>
            </w:r>
          </w:p>
        </w:tc>
        <w:tc>
          <w:tcPr>
            <w:tcW w:w="3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采购品目编码</w:t>
            </w:r>
          </w:p>
        </w:tc>
        <w:tc>
          <w:tcPr>
            <w:tcW w:w="32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采购品目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申报情况</w:t>
            </w:r>
          </w:p>
        </w:tc>
        <w:tc>
          <w:tcPr>
            <w:tcW w:w="250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3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1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32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5"/>
                <w:szCs w:val="15"/>
                <w:u w:val="none"/>
              </w:rPr>
            </w:pP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申请数量</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单价(元)</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金额(元)</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一般公共预算</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政府性基金预算</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国有资本经营预算</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财政专户管理资金</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事业收入</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事业单位经营收入</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上级补助收入</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附属单位上缴收入</w:t>
            </w: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607004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锡林郭勒盟安神医院</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公用经费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152500256072110000042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车辆加油、添加燃料服务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607004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锡林郭勒盟安神医院</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单位资金公用经费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152500256072110000054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保安服务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607004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锡林郭勒盟安神医院</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单位资金公用经费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152500256072110000054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其他信息技术服务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10063000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10063000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10063000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607004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锡林郭勒盟安神医院</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单位资金公用经费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152500256072110000054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其他办公设备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2159694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2159694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2159694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607004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锡林郭勒盟安神医院</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单位资金公用经费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152500256072110000054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其他医疗卫生服务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3850000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3850000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3850000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607004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锡林郭勒盟安神医院</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单位资金公用经费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152500256072110000054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其他医疗设备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6576710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6576710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6576710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607004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锡林郭勒盟安神医院</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单位资金公用经费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152500256072110000054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其他印刷服务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607004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锡林郭勒盟安神医院</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单位资金公用经费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152500256072110000054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其他维修和保养服务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8000000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607004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锡林郭勒盟安神医院</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单位资金公用经费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152500256072110000054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医药和医疗器材批发服务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3500000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3500000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607004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锡林郭勒盟安神医院</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单位资金公用经费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152500256072110000054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复印纸</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500000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607004</w:t>
            </w:r>
          </w:p>
        </w:tc>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锡林郭勒盟安神医院</w:t>
            </w:r>
          </w:p>
        </w:tc>
        <w:tc>
          <w:tcPr>
            <w:tcW w:w="21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单位资金公用经费</w:t>
            </w:r>
          </w:p>
        </w:tc>
        <w:tc>
          <w:tcPr>
            <w:tcW w:w="3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152500256072110000054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物业管理服务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7640000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7640000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7640000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84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607004</w:t>
            </w:r>
          </w:p>
        </w:tc>
        <w:tc>
          <w:tcPr>
            <w:tcW w:w="369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锡林郭勒盟安神医院</w:t>
            </w:r>
          </w:p>
        </w:tc>
        <w:tc>
          <w:tcPr>
            <w:tcW w:w="21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单位资金公用经费</w:t>
            </w:r>
          </w:p>
        </w:tc>
        <w:tc>
          <w:tcPr>
            <w:tcW w:w="31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152500256072110000054</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餐饮服务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5780000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5780000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5780000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14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合计</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49389404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20,000.00</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49369404</w:t>
            </w: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23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c>
          <w:tcPr>
            <w:tcW w:w="40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600" w:type="dxa"/>
            <w:gridSpan w:val="18"/>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5"/>
                <w:szCs w:val="15"/>
                <w:u w:val="none"/>
              </w:rPr>
            </w:pPr>
            <w:r>
              <w:rPr>
                <w:rFonts w:ascii="宋体" w:hAnsi="宋体" w:eastAsia="宋体" w:cs="宋体"/>
                <w:i w:val="0"/>
                <w:iCs w:val="0"/>
                <w:color w:val="000000"/>
                <w:kern w:val="0"/>
                <w:sz w:val="15"/>
                <w:szCs w:val="15"/>
                <w:u w:val="none"/>
                <w:lang w:val="en-US" w:eastAsia="zh-CN" w:bidi="ar"/>
              </w:rPr>
              <w:t>口径说明：     取值口径为部门预算编制二上细化【支出预算表】-【政府采购预算汇总表】</w:t>
            </w:r>
          </w:p>
        </w:tc>
      </w:tr>
    </w:tbl>
    <w:p>
      <w:pPr>
        <w:rPr>
          <w:sz w:val="15"/>
          <w:szCs w:val="15"/>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7DDEF70-1BA1-4E1A-97C3-A8D15B8DCF81}"/>
  </w:font>
  <w:font w:name="黑体">
    <w:panose1 w:val="02010609060101010101"/>
    <w:charset w:val="86"/>
    <w:family w:val="auto"/>
    <w:pitch w:val="default"/>
    <w:sig w:usb0="800002BF" w:usb1="38CF7CFA" w:usb2="00000016" w:usb3="00000000" w:csb0="00040001" w:csb1="00000000"/>
    <w:embedRegular r:id="rId2" w:fontKey="{A53549FA-D2B8-40C1-9F71-E011110CE88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6686333D-D4EA-45E2-AA02-598AA6B02CD3}"/>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decorative"/>
    <w:pitch w:val="default"/>
    <w:sig w:usb0="00000000" w:usb1="00000000" w:usb2="00000000" w:usb3="00000000" w:csb0="00000000" w:csb1="00000000"/>
    <w:embedRegular r:id="rId4" w:fontKey="{D695F013-5D34-4C82-AFBA-CB2C5A70C639}"/>
  </w:font>
  <w:font w:name="等线">
    <w:altName w:val="微软雅黑"/>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script"/>
    <w:pitch w:val="default"/>
    <w:sig w:usb0="00000000" w:usb1="00000000" w:usb2="00000000" w:usb3="00000000" w:csb0="00000000" w:csb1="00000000"/>
    <w:embedRegular r:id="rId5" w:fontKey="{39772600-BF4A-44C7-B416-D3E213B7BAB1}"/>
  </w:font>
  <w:font w:name="仿宋">
    <w:panose1 w:val="02010609060101010101"/>
    <w:charset w:val="86"/>
    <w:family w:val="auto"/>
    <w:pitch w:val="default"/>
    <w:sig w:usb0="800002BF" w:usb1="38CF7CFA" w:usb2="00000016" w:usb3="00000000" w:csb0="00040001" w:csb1="00000000"/>
    <w:embedRegular r:id="rId6" w:fontKey="{7E07EBF0-1F5E-4699-B72E-ADB865479593}"/>
  </w:font>
  <w:font w:name="楷体">
    <w:panose1 w:val="02010609060101010101"/>
    <w:charset w:val="86"/>
    <w:family w:val="decorative"/>
    <w:pitch w:val="default"/>
    <w:sig w:usb0="800002BF" w:usb1="38CF7CFA" w:usb2="00000016" w:usb3="00000000" w:csb0="00040001" w:csb1="00000000"/>
    <w:embedRegular r:id="rId7" w:fontKey="{FA6400E7-81D0-45CA-8C63-13B71EC18989}"/>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- 19 -</w:t>
                    </w:r>
                    <w:r>
                      <w:fldChar w:fldCharType="end"/>
                    </w:r>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74364"/>
    <w:multiLevelType w:val="singleLevel"/>
    <w:tmpl w:val="4EC7436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OTA5YzIxNDIxNWFhMmQ5ZDViM2ZkNjAxNzE0M2U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F7E09"/>
    <w:rsid w:val="048320BB"/>
    <w:rsid w:val="04B563C2"/>
    <w:rsid w:val="05531A54"/>
    <w:rsid w:val="05F92C68"/>
    <w:rsid w:val="06571B7A"/>
    <w:rsid w:val="06FF6292"/>
    <w:rsid w:val="077111CE"/>
    <w:rsid w:val="0772575A"/>
    <w:rsid w:val="07DA3A8F"/>
    <w:rsid w:val="089D7C92"/>
    <w:rsid w:val="09C92DD3"/>
    <w:rsid w:val="09CF6E4B"/>
    <w:rsid w:val="0B6B045B"/>
    <w:rsid w:val="0BD554C2"/>
    <w:rsid w:val="0E7B4525"/>
    <w:rsid w:val="10767327"/>
    <w:rsid w:val="11304CEB"/>
    <w:rsid w:val="11AF4DCB"/>
    <w:rsid w:val="12955111"/>
    <w:rsid w:val="12CC6E6D"/>
    <w:rsid w:val="13806E42"/>
    <w:rsid w:val="13A607E7"/>
    <w:rsid w:val="140E7482"/>
    <w:rsid w:val="1440520B"/>
    <w:rsid w:val="14737EE6"/>
    <w:rsid w:val="17BC5001"/>
    <w:rsid w:val="183A0A1F"/>
    <w:rsid w:val="19572A64"/>
    <w:rsid w:val="198C1D89"/>
    <w:rsid w:val="1B74013C"/>
    <w:rsid w:val="1CFA34AD"/>
    <w:rsid w:val="1E0D2BED"/>
    <w:rsid w:val="1E591AD6"/>
    <w:rsid w:val="1F14499E"/>
    <w:rsid w:val="1F5B26C7"/>
    <w:rsid w:val="203A4DF7"/>
    <w:rsid w:val="224109E7"/>
    <w:rsid w:val="22A144DF"/>
    <w:rsid w:val="22EB689E"/>
    <w:rsid w:val="2472310C"/>
    <w:rsid w:val="249C2E00"/>
    <w:rsid w:val="26CE5027"/>
    <w:rsid w:val="27F62AEE"/>
    <w:rsid w:val="2866365B"/>
    <w:rsid w:val="2B9D683D"/>
    <w:rsid w:val="2BDD6474"/>
    <w:rsid w:val="2CF23FA9"/>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86167D"/>
    <w:rsid w:val="3AE332B3"/>
    <w:rsid w:val="3C8C247C"/>
    <w:rsid w:val="3D65545B"/>
    <w:rsid w:val="3E7C6D69"/>
    <w:rsid w:val="3FA119B7"/>
    <w:rsid w:val="40177DE3"/>
    <w:rsid w:val="40976810"/>
    <w:rsid w:val="417A1877"/>
    <w:rsid w:val="422711D3"/>
    <w:rsid w:val="432253DD"/>
    <w:rsid w:val="43501007"/>
    <w:rsid w:val="43863DDA"/>
    <w:rsid w:val="444939F2"/>
    <w:rsid w:val="45551365"/>
    <w:rsid w:val="476F66C2"/>
    <w:rsid w:val="48114FB4"/>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997532"/>
    <w:rsid w:val="51296E07"/>
    <w:rsid w:val="52C12FB4"/>
    <w:rsid w:val="53097B05"/>
    <w:rsid w:val="535B5D4C"/>
    <w:rsid w:val="53866EE0"/>
    <w:rsid w:val="538F587F"/>
    <w:rsid w:val="544E2FF3"/>
    <w:rsid w:val="551E7F0E"/>
    <w:rsid w:val="55B95F2B"/>
    <w:rsid w:val="55D63612"/>
    <w:rsid w:val="55D9538F"/>
    <w:rsid w:val="56B137E7"/>
    <w:rsid w:val="57113C59"/>
    <w:rsid w:val="57CA68AA"/>
    <w:rsid w:val="59654F1B"/>
    <w:rsid w:val="5A650D5A"/>
    <w:rsid w:val="5A8E6B50"/>
    <w:rsid w:val="5B526E3B"/>
    <w:rsid w:val="5D176670"/>
    <w:rsid w:val="5EFB5FCF"/>
    <w:rsid w:val="60976762"/>
    <w:rsid w:val="615674ED"/>
    <w:rsid w:val="61744EA1"/>
    <w:rsid w:val="637048DB"/>
    <w:rsid w:val="64AA146F"/>
    <w:rsid w:val="65335497"/>
    <w:rsid w:val="65D76172"/>
    <w:rsid w:val="66C77325"/>
    <w:rsid w:val="68931D4F"/>
    <w:rsid w:val="68C6406F"/>
    <w:rsid w:val="6A1638AD"/>
    <w:rsid w:val="6B4551DF"/>
    <w:rsid w:val="6B9E2823"/>
    <w:rsid w:val="6C7B77BD"/>
    <w:rsid w:val="6C992C34"/>
    <w:rsid w:val="6CA95923"/>
    <w:rsid w:val="6D756958"/>
    <w:rsid w:val="7066010C"/>
    <w:rsid w:val="718B3849"/>
    <w:rsid w:val="73656E86"/>
    <w:rsid w:val="7377015A"/>
    <w:rsid w:val="739D2BFF"/>
    <w:rsid w:val="75A01A91"/>
    <w:rsid w:val="75A62E64"/>
    <w:rsid w:val="75BB53FD"/>
    <w:rsid w:val="75E96582"/>
    <w:rsid w:val="761146D7"/>
    <w:rsid w:val="76470CAA"/>
    <w:rsid w:val="764D1082"/>
    <w:rsid w:val="766F2799"/>
    <w:rsid w:val="773B6256"/>
    <w:rsid w:val="77CF1A71"/>
    <w:rsid w:val="7BF3685D"/>
    <w:rsid w:val="7D07233B"/>
    <w:rsid w:val="7D40391F"/>
    <w:rsid w:val="7DF96BCA"/>
    <w:rsid w:val="7E1251F4"/>
    <w:rsid w:val="7E6416AA"/>
    <w:rsid w:val="7EE66F59"/>
    <w:rsid w:val="7F1A6E76"/>
    <w:rsid w:val="7F1F783D"/>
    <w:rsid w:val="7FAF396D"/>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3">
    <w:name w:val="heading 1"/>
    <w:basedOn w:val="1"/>
    <w:next w:val="1"/>
    <w:qFormat/>
    <w:uiPriority w:val="1"/>
    <w:pPr>
      <w:keepNext/>
      <w:keepLines/>
      <w:spacing w:before="340" w:after="330" w:line="576" w:lineRule="auto"/>
      <w:outlineLvl w:val="0"/>
    </w:pPr>
    <w:rPr>
      <w:b/>
      <w:kern w:val="44"/>
      <w:sz w:val="44"/>
    </w:rPr>
  </w:style>
  <w:style w:type="paragraph" w:styleId="4">
    <w:name w:val="heading 2"/>
    <w:basedOn w:val="1"/>
    <w:next w:val="1"/>
    <w:link w:val="32"/>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5">
    <w:name w:val="heading 3"/>
    <w:basedOn w:val="1"/>
    <w:next w:val="1"/>
    <w:unhideWhenUsed/>
    <w:qFormat/>
    <w:uiPriority w:val="1"/>
    <w:pPr>
      <w:keepNext/>
      <w:keepLines/>
      <w:spacing w:before="260" w:after="260" w:line="413" w:lineRule="auto"/>
      <w:outlineLvl w:val="2"/>
    </w:pPr>
    <w:rPr>
      <w:b/>
      <w:sz w:val="32"/>
    </w:rPr>
  </w:style>
  <w:style w:type="paragraph" w:styleId="6">
    <w:name w:val="heading 4"/>
    <w:basedOn w:val="1"/>
    <w:next w:val="1"/>
    <w:link w:val="37"/>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5"/>
    <w:unhideWhenUsed/>
    <w:qFormat/>
    <w:uiPriority w:val="1"/>
    <w:pPr>
      <w:keepNext/>
      <w:keepLines/>
      <w:spacing w:before="280" w:after="290" w:line="376" w:lineRule="auto"/>
      <w:outlineLvl w:val="4"/>
    </w:pPr>
    <w:rPr>
      <w:b/>
      <w:bCs/>
      <w:sz w:val="28"/>
      <w:szCs w:val="28"/>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Autospacing="0" w:after="60" w:afterAutospacing="0"/>
      <w:jc w:val="center"/>
    </w:pPr>
    <w:rPr>
      <w:rFonts w:ascii="Calibri Light" w:hAnsi="Calibri Light"/>
      <w:sz w:val="32"/>
      <w:szCs w:val="32"/>
    </w:rPr>
  </w:style>
  <w:style w:type="paragraph" w:styleId="8">
    <w:name w:val="Normal Indent"/>
    <w:basedOn w:val="1"/>
    <w:next w:val="9"/>
    <w:qFormat/>
    <w:uiPriority w:val="0"/>
    <w:pPr>
      <w:spacing w:line="360" w:lineRule="auto"/>
      <w:ind w:firstLine="420" w:firstLineChars="200"/>
      <w:jc w:val="left"/>
    </w:pPr>
    <w:rPr>
      <w:rFonts w:ascii="仿宋_GB2312" w:hAnsi="Arial" w:eastAsia="仿宋_GB2312"/>
      <w:kern w:val="0"/>
      <w:sz w:val="30"/>
      <w:szCs w:val="30"/>
    </w:rPr>
  </w:style>
  <w:style w:type="paragraph" w:styleId="9">
    <w:name w:val="Body Text"/>
    <w:basedOn w:val="1"/>
    <w:link w:val="36"/>
    <w:unhideWhenUsed/>
    <w:qFormat/>
    <w:uiPriority w:val="1"/>
    <w:pPr>
      <w:spacing w:after="120"/>
    </w:pPr>
  </w:style>
  <w:style w:type="paragraph" w:styleId="10">
    <w:name w:val="annotation text"/>
    <w:basedOn w:val="1"/>
    <w:link w:val="28"/>
    <w:unhideWhenUsed/>
    <w:qFormat/>
    <w:uiPriority w:val="99"/>
    <w:pPr>
      <w:jc w:val="left"/>
    </w:pPr>
  </w:style>
  <w:style w:type="paragraph" w:styleId="11">
    <w:name w:val="Body Text Indent"/>
    <w:basedOn w:val="1"/>
    <w:next w:val="12"/>
    <w:qFormat/>
    <w:uiPriority w:val="0"/>
    <w:pPr>
      <w:spacing w:after="120"/>
      <w:ind w:left="420" w:leftChars="200"/>
      <w:jc w:val="left"/>
    </w:pPr>
    <w:rPr>
      <w:rFonts w:hint="eastAsia" w:ascii="宋体" w:hAnsi="宋体" w:eastAsia="宋体"/>
      <w:kern w:val="0"/>
      <w:sz w:val="24"/>
      <w:szCs w:val="24"/>
    </w:rPr>
  </w:style>
  <w:style w:type="paragraph" w:styleId="12">
    <w:name w:val="Body Text First Indent 2"/>
    <w:basedOn w:val="11"/>
    <w:qFormat/>
    <w:uiPriority w:val="0"/>
    <w:pPr>
      <w:ind w:firstLine="420"/>
    </w:pPr>
  </w:style>
  <w:style w:type="paragraph" w:styleId="13">
    <w:name w:val="Balloon Text"/>
    <w:basedOn w:val="1"/>
    <w:link w:val="38"/>
    <w:unhideWhenUsed/>
    <w:qFormat/>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7">
    <w:name w:val="Subtitle"/>
    <w:basedOn w:val="1"/>
    <w:next w:val="1"/>
    <w:link w:val="31"/>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8">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0">
    <w:name w:val="annotation subject"/>
    <w:basedOn w:val="10"/>
    <w:next w:val="10"/>
    <w:link w:val="29"/>
    <w:unhideWhenUsed/>
    <w:qFormat/>
    <w:uiPriority w:val="99"/>
    <w:rPr>
      <w:b/>
      <w:bCs/>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unhideWhenUsed/>
    <w:qFormat/>
    <w:uiPriority w:val="99"/>
    <w:rPr>
      <w:sz w:val="21"/>
      <w:szCs w:val="21"/>
    </w:rPr>
  </w:style>
  <w:style w:type="character" w:customStyle="1" w:styleId="26">
    <w:name w:val="页眉 Char"/>
    <w:basedOn w:val="23"/>
    <w:link w:val="15"/>
    <w:qFormat/>
    <w:uiPriority w:val="99"/>
    <w:rPr>
      <w:sz w:val="18"/>
      <w:szCs w:val="18"/>
    </w:rPr>
  </w:style>
  <w:style w:type="character" w:customStyle="1" w:styleId="27">
    <w:name w:val="页脚 Char"/>
    <w:basedOn w:val="23"/>
    <w:link w:val="14"/>
    <w:qFormat/>
    <w:uiPriority w:val="99"/>
    <w:rPr>
      <w:sz w:val="18"/>
      <w:szCs w:val="18"/>
    </w:rPr>
  </w:style>
  <w:style w:type="character" w:customStyle="1" w:styleId="28">
    <w:name w:val="批注文字 Char"/>
    <w:basedOn w:val="23"/>
    <w:link w:val="10"/>
    <w:qFormat/>
    <w:uiPriority w:val="99"/>
    <w:rPr>
      <w:rFonts w:ascii="Times New Roman" w:hAnsi="Times New Roman" w:eastAsia="Courier New" w:cs="Times New Roman"/>
      <w:szCs w:val="21"/>
    </w:rPr>
  </w:style>
  <w:style w:type="character" w:customStyle="1" w:styleId="29">
    <w:name w:val="批注主题 Char"/>
    <w:basedOn w:val="28"/>
    <w:link w:val="20"/>
    <w:semiHidden/>
    <w:qFormat/>
    <w:uiPriority w:val="99"/>
    <w:rPr>
      <w:rFonts w:ascii="Times New Roman" w:hAnsi="Times New Roman" w:eastAsia="Courier New" w:cs="Times New Roman"/>
      <w:b/>
      <w:bCs/>
      <w:szCs w:val="21"/>
    </w:rPr>
  </w:style>
  <w:style w:type="paragraph" w:customStyle="1" w:styleId="30">
    <w:name w:val="独立格式"/>
    <w:basedOn w:val="17"/>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31">
    <w:name w:val="副标题 Char"/>
    <w:basedOn w:val="23"/>
    <w:link w:val="17"/>
    <w:qFormat/>
    <w:uiPriority w:val="11"/>
    <w:rPr>
      <w:b/>
      <w:bCs/>
      <w:kern w:val="28"/>
      <w:sz w:val="32"/>
      <w:szCs w:val="32"/>
    </w:rPr>
  </w:style>
  <w:style w:type="character" w:customStyle="1" w:styleId="32">
    <w:name w:val="标题 2 Char"/>
    <w:basedOn w:val="23"/>
    <w:link w:val="4"/>
    <w:qFormat/>
    <w:uiPriority w:val="9"/>
    <w:rPr>
      <w:rFonts w:ascii="Arial" w:hAnsi="Arial" w:eastAsia="Symbol" w:cs="Times New Roman"/>
      <w:b/>
      <w:bCs/>
      <w:sz w:val="32"/>
      <w:szCs w:val="32"/>
    </w:rPr>
  </w:style>
  <w:style w:type="paragraph" w:customStyle="1" w:styleId="33">
    <w:name w:val="表格名称"/>
    <w:basedOn w:val="1"/>
    <w:qFormat/>
    <w:uiPriority w:val="0"/>
    <w:pPr>
      <w:spacing w:line="360" w:lineRule="auto"/>
      <w:jc w:val="center"/>
    </w:pPr>
    <w:rPr>
      <w:rFonts w:eastAsia="Helv" w:cs="New York"/>
      <w:b/>
      <w:sz w:val="24"/>
      <w:szCs w:val="24"/>
    </w:rPr>
  </w:style>
  <w:style w:type="paragraph" w:customStyle="1" w:styleId="34">
    <w:name w:val="表格文字"/>
    <w:basedOn w:val="30"/>
    <w:next w:val="1"/>
    <w:qFormat/>
    <w:uiPriority w:val="0"/>
    <w:pPr>
      <w:spacing w:line="360" w:lineRule="exact"/>
    </w:pPr>
    <w:rPr>
      <w:rFonts w:eastAsia="Helv" w:cs="New York"/>
      <w:sz w:val="24"/>
    </w:rPr>
  </w:style>
  <w:style w:type="character" w:customStyle="1" w:styleId="35">
    <w:name w:val="标题 5 Char"/>
    <w:basedOn w:val="23"/>
    <w:link w:val="7"/>
    <w:semiHidden/>
    <w:qFormat/>
    <w:uiPriority w:val="9"/>
    <w:rPr>
      <w:rFonts w:ascii="Times New Roman" w:hAnsi="Times New Roman" w:eastAsia="Courier New" w:cs="Times New Roman"/>
      <w:b/>
      <w:bCs/>
      <w:sz w:val="28"/>
      <w:szCs w:val="28"/>
    </w:rPr>
  </w:style>
  <w:style w:type="character" w:customStyle="1" w:styleId="36">
    <w:name w:val="正文文本 Char"/>
    <w:basedOn w:val="23"/>
    <w:link w:val="9"/>
    <w:semiHidden/>
    <w:qFormat/>
    <w:uiPriority w:val="99"/>
    <w:rPr>
      <w:rFonts w:ascii="Times New Roman" w:hAnsi="Times New Roman" w:eastAsia="Courier New" w:cs="Times New Roman"/>
      <w:szCs w:val="21"/>
    </w:rPr>
  </w:style>
  <w:style w:type="character" w:customStyle="1" w:styleId="37">
    <w:name w:val="标题 4 Char"/>
    <w:basedOn w:val="23"/>
    <w:link w:val="6"/>
    <w:semiHidden/>
    <w:qFormat/>
    <w:uiPriority w:val="9"/>
    <w:rPr>
      <w:rFonts w:asciiTheme="majorHAnsi" w:hAnsiTheme="majorHAnsi" w:eastAsiaTheme="majorEastAsia" w:cstheme="majorBidi"/>
      <w:b/>
      <w:bCs/>
      <w:sz w:val="28"/>
      <w:szCs w:val="28"/>
    </w:rPr>
  </w:style>
  <w:style w:type="character" w:customStyle="1" w:styleId="38">
    <w:name w:val="批注框文本 Char"/>
    <w:basedOn w:val="23"/>
    <w:link w:val="13"/>
    <w:semiHidden/>
    <w:qFormat/>
    <w:uiPriority w:val="99"/>
    <w:rPr>
      <w:rFonts w:ascii="Times New Roman" w:hAnsi="Times New Roman" w:eastAsia="Courier New" w:cs="Times New Roman"/>
      <w:kern w:val="2"/>
      <w:sz w:val="18"/>
      <w:szCs w:val="18"/>
    </w:rPr>
  </w:style>
  <w:style w:type="table" w:customStyle="1" w:styleId="39">
    <w:name w:val="Table Normal"/>
    <w:unhideWhenUsed/>
    <w:qFormat/>
    <w:uiPriority w:val="2"/>
    <w:tblPr>
      <w:tblCellMar>
        <w:top w:w="0" w:type="dxa"/>
        <w:left w:w="0" w:type="dxa"/>
        <w:bottom w:w="0" w:type="dxa"/>
        <w:right w:w="0" w:type="dxa"/>
      </w:tblCellMar>
    </w:tblPr>
  </w:style>
  <w:style w:type="paragraph" w:customStyle="1" w:styleId="40">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41">
    <w:name w:val="Table Paragraph"/>
    <w:basedOn w:val="1"/>
    <w:qFormat/>
    <w:uiPriority w:val="1"/>
    <w:pPr>
      <w:autoSpaceDE w:val="0"/>
      <w:autoSpaceDN w:val="0"/>
      <w:jc w:val="left"/>
    </w:pPr>
    <w:rPr>
      <w:rFonts w:ascii="宋体" w:hAnsi="宋体" w:eastAsia="宋体" w:cs="宋体"/>
      <w:kern w:val="0"/>
      <w:sz w:val="22"/>
      <w:szCs w:val="22"/>
      <w:lang w:eastAsia="en-US"/>
    </w:rPr>
  </w:style>
  <w:style w:type="paragraph" w:customStyle="1" w:styleId="42">
    <w:name w:val="BodyText1I2"/>
    <w:basedOn w:val="43"/>
    <w:qFormat/>
    <w:uiPriority w:val="0"/>
    <w:pPr>
      <w:widowControl/>
      <w:wordWrap/>
      <w:autoSpaceDE/>
      <w:autoSpaceDN/>
      <w:ind w:left="420" w:firstLine="420"/>
      <w:jc w:val="both"/>
      <w:textAlignment w:val="baseline"/>
    </w:pPr>
    <w:rPr>
      <w:rFonts w:ascii="Times New Roman" w:hAnsi="Times New Roman" w:eastAsia="Times New Roman"/>
      <w:sz w:val="20"/>
      <w:szCs w:val="20"/>
    </w:rPr>
  </w:style>
  <w:style w:type="paragraph" w:customStyle="1" w:styleId="43">
    <w:name w:val="BodyTextIndent"/>
    <w:basedOn w:val="1"/>
    <w:next w:val="42"/>
    <w:qFormat/>
    <w:uiPriority w:val="0"/>
    <w:pPr>
      <w:widowControl/>
      <w:wordWrap/>
      <w:autoSpaceDE/>
      <w:autoSpaceDN/>
      <w:ind w:left="420" w:firstLine="0"/>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6978</Words>
  <Characters>7508</Characters>
  <Lines>80</Lines>
  <Paragraphs>22</Paragraphs>
  <TotalTime>0</TotalTime>
  <ScaleCrop>false</ScaleCrop>
  <LinksUpToDate>false</LinksUpToDate>
  <CharactersWithSpaces>7838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Administrator</cp:lastModifiedBy>
  <cp:lastPrinted>2025-03-06T02:15:00Z</cp:lastPrinted>
  <dcterms:modified xsi:type="dcterms:W3CDTF">2025-03-11T12:16:46Z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7504733A1BF9419B88CB429F7BA6ED6D_13</vt:lpwstr>
  </property>
  <property fmtid="{D5CDD505-2E9C-101B-9397-08002B2CF9AE}" pid="4" name="commondata">
    <vt:lpwstr>eyJoZGlkIjoiMDUyZTZiOWNhNTRkM2JiNDQwZWRmZDZjZTIwNDhiY2IifQ==</vt:lpwstr>
  </property>
  <property fmtid="{D5CDD505-2E9C-101B-9397-08002B2CF9AE}" pid="5" name="KSOTemplateDocerSaveRecord">
    <vt:lpwstr>eyJoZGlkIjoiNmE2N2M0ZjY5N2U4ODFjMzdlNmM2ZmMzYWQ3Yjg3N2IiLCJ1c2VySWQiOiI1ODQxNDUzNDUifQ==</vt:lpwstr>
  </property>
</Properties>
</file>