
<file path=[Content_Types].xml><?xml version="1.0" encoding="utf-8"?>
<Types xmlns="http://schemas.openxmlformats.org/package/2006/content-types">
  <Default Extension="xml" ContentType="application/xml"/>
  <Default Extension="xlsx" ContentType="application/vnd.openxmlformats-officedocument.spreadsheetml.sheet"/>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olors1.xml" ContentType="application/vnd.ms-office.chartcolorstyle+xml"/>
  <Override PartName="/word/charts/colors2.xml" ContentType="application/vnd.ms-office.chartcolorstyle+xml"/>
  <Override PartName="/word/charts/style1.xml" ContentType="application/vnd.ms-office.chartstyle+xml"/>
  <Override PartName="/word/charts/style2.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wordWrap/>
        <w:overflowPunct/>
        <w:topLinePunct w:val="0"/>
        <w:bidi w:val="0"/>
        <w:spacing w:line="600" w:lineRule="exact"/>
        <w:jc w:val="center"/>
        <w:rPr>
          <w:rFonts w:eastAsia="黑体" w:cs="宋体"/>
          <w:b/>
          <w:sz w:val="52"/>
          <w:szCs w:val="52"/>
        </w:rPr>
      </w:pPr>
    </w:p>
    <w:p>
      <w:pPr>
        <w:pageBreakBefore w:val="0"/>
        <w:kinsoku/>
        <w:wordWrap/>
        <w:overflowPunct/>
        <w:topLinePunct w:val="0"/>
        <w:bidi w:val="0"/>
        <w:spacing w:line="600" w:lineRule="exact"/>
        <w:jc w:val="center"/>
        <w:rPr>
          <w:rFonts w:eastAsia="黑体" w:cs="宋体"/>
          <w:b/>
          <w:sz w:val="52"/>
          <w:szCs w:val="52"/>
        </w:rPr>
      </w:pPr>
    </w:p>
    <w:p>
      <w:pPr>
        <w:pageBreakBefore w:val="0"/>
        <w:kinsoku/>
        <w:wordWrap/>
        <w:overflowPunct/>
        <w:topLinePunct w:val="0"/>
        <w:bidi w:val="0"/>
        <w:spacing w:line="600" w:lineRule="exact"/>
        <w:jc w:val="left"/>
        <w:rPr>
          <w:rFonts w:ascii="黑体" w:hAnsi="黑体" w:eastAsia="黑体" w:cs="黑体"/>
          <w:b/>
          <w:bCs/>
          <w:sz w:val="32"/>
          <w:szCs w:val="32"/>
        </w:rPr>
      </w:pPr>
    </w:p>
    <w:p>
      <w:pPr>
        <w:pageBreakBefore w:val="0"/>
        <w:kinsoku/>
        <w:wordWrap/>
        <w:overflowPunct/>
        <w:topLinePunct w:val="0"/>
        <w:bidi w:val="0"/>
        <w:spacing w:line="600" w:lineRule="exact"/>
        <w:jc w:val="left"/>
        <w:rPr>
          <w:rFonts w:ascii="Arial" w:hAnsi="Arial" w:eastAsia="Symbol"/>
          <w:b/>
          <w:bCs/>
          <w:sz w:val="32"/>
          <w:szCs w:val="32"/>
        </w:rPr>
      </w:pPr>
    </w:p>
    <w:p>
      <w:pPr>
        <w:pageBreakBefore w:val="0"/>
        <w:kinsoku/>
        <w:wordWrap/>
        <w:overflowPunct/>
        <w:topLinePunct w:val="0"/>
        <w:bidi w:val="0"/>
        <w:spacing w:line="600" w:lineRule="exact"/>
        <w:jc w:val="center"/>
        <w:rPr>
          <w:rFonts w:ascii="Arial" w:hAnsi="Arial" w:eastAsia="宋体"/>
          <w:b/>
          <w:bCs/>
          <w:sz w:val="32"/>
          <w:szCs w:val="32"/>
        </w:rPr>
      </w:pPr>
    </w:p>
    <w:p>
      <w:pPr>
        <w:pageBreakBefore w:val="0"/>
        <w:kinsoku/>
        <w:wordWrap/>
        <w:overflowPunct/>
        <w:topLinePunct w:val="0"/>
        <w:bidi w:val="0"/>
        <w:spacing w:line="600" w:lineRule="exact"/>
        <w:jc w:val="center"/>
        <w:rPr>
          <w:rFonts w:ascii="Arial" w:hAnsi="Arial" w:eastAsia="宋体"/>
          <w:b/>
          <w:bCs/>
          <w:sz w:val="32"/>
          <w:szCs w:val="32"/>
        </w:rPr>
      </w:pPr>
    </w:p>
    <w:p>
      <w:pPr>
        <w:pageBreakBefore w:val="0"/>
        <w:kinsoku/>
        <w:wordWrap/>
        <w:overflowPunct/>
        <w:topLinePunct w:val="0"/>
        <w:bidi w:val="0"/>
        <w:spacing w:line="600" w:lineRule="exact"/>
        <w:jc w:val="center"/>
        <w:rPr>
          <w:rFonts w:ascii="Arial" w:hAnsi="Arial" w:eastAsia="宋体"/>
          <w:b/>
          <w:bCs/>
          <w:sz w:val="32"/>
          <w:szCs w:val="32"/>
        </w:rPr>
      </w:pPr>
    </w:p>
    <w:p>
      <w:pPr>
        <w:pageBreakBefore w:val="0"/>
        <w:kinsoku/>
        <w:wordWrap/>
        <w:overflowPunct/>
        <w:topLinePunct w:val="0"/>
        <w:bidi w:val="0"/>
        <w:spacing w:line="600" w:lineRule="exact"/>
        <w:jc w:val="center"/>
        <w:rPr>
          <w:rFonts w:hint="eastAsia" w:ascii="宋体" w:hAnsi="宋体" w:eastAsia="宋体" w:cs="宋体"/>
          <w:b/>
          <w:bCs/>
          <w:sz w:val="44"/>
          <w:szCs w:val="44"/>
        </w:rPr>
      </w:pPr>
      <w:r>
        <w:rPr>
          <w:rFonts w:hint="eastAsia" w:ascii="宋体" w:hAnsi="宋体" w:eastAsia="宋体" w:cs="宋体"/>
          <w:b/>
          <w:bCs/>
          <w:sz w:val="44"/>
          <w:szCs w:val="44"/>
          <w:lang w:val="en-US" w:eastAsia="zh-CN"/>
        </w:rPr>
        <w:t>2025</w:t>
      </w:r>
      <w:r>
        <w:rPr>
          <w:rFonts w:hint="eastAsia" w:ascii="宋体" w:hAnsi="宋体" w:eastAsia="宋体" w:cs="宋体"/>
          <w:b/>
          <w:bCs/>
          <w:sz w:val="44"/>
          <w:szCs w:val="44"/>
        </w:rPr>
        <w:t>年度</w:t>
      </w:r>
      <w:r>
        <w:rPr>
          <w:rFonts w:hint="eastAsia" w:ascii="宋体" w:hAnsi="宋体" w:eastAsia="宋体" w:cs="宋体"/>
          <w:b/>
          <w:bCs/>
          <w:sz w:val="44"/>
          <w:szCs w:val="44"/>
          <w:lang w:val="en-US" w:eastAsia="zh-CN"/>
        </w:rPr>
        <w:t>锡林郭勒盟社会福利院</w:t>
      </w:r>
      <w:r>
        <w:rPr>
          <w:rFonts w:hint="eastAsia" w:ascii="宋体" w:hAnsi="宋体" w:eastAsia="宋体" w:cs="宋体"/>
          <w:b/>
          <w:bCs/>
          <w:sz w:val="44"/>
          <w:szCs w:val="44"/>
        </w:rPr>
        <w:t>预算公开</w:t>
      </w:r>
    </w:p>
    <w:p>
      <w:pPr>
        <w:pageBreakBefore w:val="0"/>
        <w:kinsoku/>
        <w:wordWrap/>
        <w:overflowPunct/>
        <w:topLinePunct w:val="0"/>
        <w:bidi w:val="0"/>
        <w:adjustRightInd w:val="0"/>
        <w:snapToGrid w:val="0"/>
        <w:spacing w:line="600" w:lineRule="exact"/>
        <w:ind w:firstLine="640"/>
        <w:rPr>
          <w:rFonts w:ascii="仿宋" w:hAnsi="仿宋" w:eastAsia="仿宋"/>
          <w:sz w:val="32"/>
          <w:szCs w:val="32"/>
        </w:rPr>
      </w:pPr>
    </w:p>
    <w:p>
      <w:pPr>
        <w:pageBreakBefore w:val="0"/>
        <w:kinsoku/>
        <w:wordWrap/>
        <w:overflowPunct/>
        <w:topLinePunct w:val="0"/>
        <w:bidi w:val="0"/>
        <w:adjustRightInd w:val="0"/>
        <w:snapToGrid w:val="0"/>
        <w:spacing w:line="600" w:lineRule="exact"/>
        <w:ind w:firstLine="640"/>
        <w:rPr>
          <w:rFonts w:ascii="仿宋" w:hAnsi="仿宋" w:eastAsia="仿宋"/>
          <w:sz w:val="32"/>
          <w:szCs w:val="32"/>
        </w:rPr>
      </w:pPr>
    </w:p>
    <w:p>
      <w:pPr>
        <w:pageBreakBefore w:val="0"/>
        <w:kinsoku/>
        <w:wordWrap/>
        <w:overflowPunct/>
        <w:topLinePunct w:val="0"/>
        <w:bidi w:val="0"/>
        <w:adjustRightInd w:val="0"/>
        <w:snapToGrid w:val="0"/>
        <w:spacing w:line="600" w:lineRule="exact"/>
        <w:ind w:firstLine="640"/>
        <w:rPr>
          <w:rFonts w:ascii="仿宋" w:hAnsi="仿宋" w:eastAsia="仿宋"/>
          <w:sz w:val="32"/>
          <w:szCs w:val="32"/>
        </w:rPr>
      </w:pPr>
    </w:p>
    <w:p>
      <w:pPr>
        <w:pageBreakBefore w:val="0"/>
        <w:kinsoku/>
        <w:wordWrap/>
        <w:overflowPunct/>
        <w:topLinePunct w:val="0"/>
        <w:bidi w:val="0"/>
        <w:adjustRightInd w:val="0"/>
        <w:snapToGrid w:val="0"/>
        <w:spacing w:line="600" w:lineRule="exact"/>
        <w:ind w:firstLine="640"/>
        <w:rPr>
          <w:rFonts w:ascii="仿宋" w:hAnsi="仿宋" w:eastAsia="仿宋"/>
          <w:sz w:val="32"/>
          <w:szCs w:val="32"/>
        </w:rPr>
      </w:pPr>
    </w:p>
    <w:p>
      <w:pPr>
        <w:pageBreakBefore w:val="0"/>
        <w:kinsoku/>
        <w:wordWrap/>
        <w:overflowPunct/>
        <w:topLinePunct w:val="0"/>
        <w:bidi w:val="0"/>
        <w:adjustRightInd w:val="0"/>
        <w:snapToGrid w:val="0"/>
        <w:spacing w:line="600" w:lineRule="exact"/>
        <w:ind w:firstLine="640"/>
        <w:rPr>
          <w:rFonts w:ascii="仿宋" w:hAnsi="仿宋" w:eastAsia="仿宋"/>
          <w:sz w:val="32"/>
          <w:szCs w:val="32"/>
        </w:rPr>
      </w:pPr>
    </w:p>
    <w:p>
      <w:pPr>
        <w:pageBreakBefore w:val="0"/>
        <w:kinsoku/>
        <w:wordWrap/>
        <w:overflowPunct/>
        <w:topLinePunct w:val="0"/>
        <w:bidi w:val="0"/>
        <w:adjustRightInd w:val="0"/>
        <w:snapToGrid w:val="0"/>
        <w:spacing w:line="600" w:lineRule="exact"/>
        <w:ind w:firstLine="640"/>
        <w:rPr>
          <w:rFonts w:ascii="仿宋" w:hAnsi="仿宋" w:eastAsia="仿宋"/>
          <w:sz w:val="32"/>
          <w:szCs w:val="32"/>
        </w:rPr>
      </w:pPr>
    </w:p>
    <w:p>
      <w:pPr>
        <w:pageBreakBefore w:val="0"/>
        <w:kinsoku/>
        <w:wordWrap/>
        <w:overflowPunct/>
        <w:topLinePunct w:val="0"/>
        <w:bidi w:val="0"/>
        <w:adjustRightInd w:val="0"/>
        <w:snapToGrid w:val="0"/>
        <w:spacing w:line="600" w:lineRule="exact"/>
        <w:ind w:firstLine="640"/>
        <w:rPr>
          <w:rFonts w:ascii="仿宋" w:hAnsi="仿宋" w:eastAsia="仿宋"/>
          <w:sz w:val="32"/>
          <w:szCs w:val="32"/>
        </w:rPr>
      </w:pPr>
    </w:p>
    <w:p>
      <w:pPr>
        <w:pageBreakBefore w:val="0"/>
        <w:kinsoku/>
        <w:wordWrap/>
        <w:overflowPunct/>
        <w:topLinePunct w:val="0"/>
        <w:bidi w:val="0"/>
        <w:adjustRightInd w:val="0"/>
        <w:snapToGrid w:val="0"/>
        <w:spacing w:line="600" w:lineRule="exact"/>
        <w:ind w:firstLine="640"/>
        <w:rPr>
          <w:rFonts w:ascii="仿宋" w:hAnsi="仿宋" w:eastAsia="仿宋"/>
          <w:sz w:val="32"/>
          <w:szCs w:val="32"/>
        </w:rPr>
      </w:pPr>
    </w:p>
    <w:p>
      <w:pPr>
        <w:pageBreakBefore w:val="0"/>
        <w:kinsoku/>
        <w:wordWrap/>
        <w:overflowPunct/>
        <w:topLinePunct w:val="0"/>
        <w:bidi w:val="0"/>
        <w:adjustRightInd w:val="0"/>
        <w:snapToGrid w:val="0"/>
        <w:spacing w:line="600" w:lineRule="exact"/>
        <w:ind w:firstLine="640"/>
        <w:rPr>
          <w:rFonts w:ascii="仿宋" w:hAnsi="仿宋" w:eastAsia="仿宋"/>
          <w:sz w:val="32"/>
          <w:szCs w:val="32"/>
        </w:rPr>
      </w:pPr>
    </w:p>
    <w:p>
      <w:pPr>
        <w:pageBreakBefore w:val="0"/>
        <w:kinsoku/>
        <w:wordWrap/>
        <w:overflowPunct/>
        <w:topLinePunct w:val="0"/>
        <w:bidi w:val="0"/>
        <w:adjustRightInd w:val="0"/>
        <w:snapToGrid w:val="0"/>
        <w:spacing w:line="600" w:lineRule="exact"/>
        <w:rPr>
          <w:rFonts w:hint="eastAsia" w:ascii="黑体" w:hAnsi="黑体" w:eastAsia="黑体" w:cs="黑体"/>
          <w:sz w:val="32"/>
          <w:szCs w:val="32"/>
        </w:rPr>
      </w:pPr>
    </w:p>
    <w:p>
      <w:pPr>
        <w:pageBreakBefore w:val="0"/>
        <w:kinsoku/>
        <w:wordWrap/>
        <w:overflowPunct/>
        <w:topLinePunct w:val="0"/>
        <w:bidi w:val="0"/>
        <w:adjustRightInd w:val="0"/>
        <w:snapToGrid w:val="0"/>
        <w:spacing w:line="600" w:lineRule="exact"/>
        <w:jc w:val="center"/>
        <w:rPr>
          <w:rFonts w:ascii="黑体" w:hAnsi="黑体" w:eastAsia="黑体" w:cs="黑体"/>
          <w:sz w:val="32"/>
          <w:szCs w:val="32"/>
        </w:rPr>
      </w:pPr>
      <w:r>
        <w:rPr>
          <w:rFonts w:hint="eastAsia" w:ascii="黑体" w:hAnsi="黑体" w:eastAsia="黑体" w:cs="黑体"/>
          <w:sz w:val="32"/>
          <w:szCs w:val="32"/>
        </w:rPr>
        <w:t>批复时间：</w:t>
      </w:r>
      <w:r>
        <w:rPr>
          <w:rFonts w:hint="eastAsia" w:ascii="黑体" w:hAnsi="黑体" w:eastAsia="黑体" w:cs="黑体"/>
          <w:sz w:val="32"/>
          <w:szCs w:val="32"/>
          <w:u w:val="single"/>
          <w:lang w:val="en-US" w:eastAsia="zh-CN"/>
        </w:rPr>
        <w:t>2025</w:t>
      </w:r>
      <w:r>
        <w:rPr>
          <w:rFonts w:hint="eastAsia" w:ascii="黑体" w:hAnsi="黑体" w:eastAsia="黑体" w:cs="黑体"/>
          <w:sz w:val="32"/>
          <w:szCs w:val="32"/>
          <w:u w:val="single"/>
        </w:rPr>
        <w:t>年</w:t>
      </w:r>
      <w:r>
        <w:rPr>
          <w:rFonts w:hint="eastAsia" w:ascii="黑体" w:hAnsi="黑体" w:eastAsia="黑体" w:cs="黑体"/>
          <w:sz w:val="32"/>
          <w:szCs w:val="32"/>
          <w:u w:val="single"/>
          <w:lang w:val="en-US" w:eastAsia="zh-CN"/>
        </w:rPr>
        <w:t>3</w:t>
      </w:r>
      <w:r>
        <w:rPr>
          <w:rFonts w:hint="eastAsia" w:ascii="黑体" w:hAnsi="黑体" w:eastAsia="黑体" w:cs="黑体"/>
          <w:sz w:val="32"/>
          <w:szCs w:val="32"/>
          <w:u w:val="single"/>
        </w:rPr>
        <w:t>月</w:t>
      </w:r>
      <w:r>
        <w:rPr>
          <w:rFonts w:hint="eastAsia" w:ascii="黑体" w:hAnsi="黑体" w:eastAsia="黑体" w:cs="黑体"/>
          <w:sz w:val="32"/>
          <w:szCs w:val="32"/>
          <w:u w:val="single"/>
          <w:lang w:val="en-US" w:eastAsia="zh-CN"/>
        </w:rPr>
        <w:t>5</w:t>
      </w:r>
      <w:r>
        <w:rPr>
          <w:rFonts w:hint="eastAsia" w:ascii="黑体" w:hAnsi="黑体" w:eastAsia="黑体" w:cs="黑体"/>
          <w:sz w:val="32"/>
          <w:szCs w:val="32"/>
          <w:u w:val="single"/>
        </w:rPr>
        <w:t>日</w:t>
      </w:r>
    </w:p>
    <w:p>
      <w:pPr>
        <w:pStyle w:val="2"/>
        <w:pageBreakBefore w:val="0"/>
        <w:kinsoku/>
        <w:wordWrap/>
        <w:overflowPunct/>
        <w:topLinePunct w:val="0"/>
        <w:bidi w:val="0"/>
        <w:spacing w:after="0" w:line="600" w:lineRule="exact"/>
        <w:ind w:left="0" w:leftChars="0" w:firstLine="0" w:firstLineChars="0"/>
        <w:jc w:val="center"/>
        <w:rPr>
          <w:rFonts w:hint="default" w:ascii="黑体" w:hAnsi="黑体" w:eastAsia="黑体" w:cs="黑体"/>
        </w:rPr>
      </w:pPr>
      <w:r>
        <w:rPr>
          <w:rFonts w:ascii="黑体" w:hAnsi="黑体" w:eastAsia="黑体" w:cs="黑体"/>
          <w:sz w:val="32"/>
          <w:szCs w:val="32"/>
        </w:rPr>
        <w:t>公开时间：</w:t>
      </w:r>
      <w:r>
        <w:rPr>
          <w:rFonts w:hint="eastAsia" w:ascii="黑体" w:hAnsi="黑体" w:eastAsia="黑体" w:cs="黑体"/>
          <w:sz w:val="32"/>
          <w:szCs w:val="32"/>
          <w:u w:val="single"/>
          <w:lang w:val="en-US" w:eastAsia="zh-CN"/>
        </w:rPr>
        <w:t>2025</w:t>
      </w:r>
      <w:r>
        <w:rPr>
          <w:rFonts w:ascii="黑体" w:hAnsi="黑体" w:eastAsia="黑体" w:cs="黑体"/>
          <w:sz w:val="32"/>
          <w:szCs w:val="32"/>
          <w:u w:val="single"/>
        </w:rPr>
        <w:t>年</w:t>
      </w:r>
      <w:r>
        <w:rPr>
          <w:rFonts w:hint="eastAsia" w:ascii="黑体" w:hAnsi="黑体" w:eastAsia="黑体" w:cs="黑体"/>
          <w:sz w:val="32"/>
          <w:szCs w:val="32"/>
          <w:u w:val="single"/>
          <w:lang w:val="en-US" w:eastAsia="zh-CN"/>
        </w:rPr>
        <w:t>3</w:t>
      </w:r>
      <w:r>
        <w:rPr>
          <w:rFonts w:ascii="黑体" w:hAnsi="黑体" w:eastAsia="黑体" w:cs="黑体"/>
          <w:sz w:val="32"/>
          <w:szCs w:val="32"/>
          <w:u w:val="single"/>
        </w:rPr>
        <w:t>月</w:t>
      </w:r>
      <w:r>
        <w:rPr>
          <w:rFonts w:hint="eastAsia" w:ascii="黑体" w:hAnsi="黑体" w:eastAsia="黑体" w:cs="黑体"/>
          <w:sz w:val="32"/>
          <w:szCs w:val="32"/>
          <w:u w:val="single"/>
          <w:lang w:val="en-US" w:eastAsia="zh-CN"/>
        </w:rPr>
        <w:t>14</w:t>
      </w:r>
      <w:bookmarkStart w:id="0" w:name="_GoBack"/>
      <w:bookmarkEnd w:id="0"/>
      <w:r>
        <w:rPr>
          <w:rFonts w:ascii="黑体" w:hAnsi="黑体" w:eastAsia="黑体" w:cs="黑体"/>
          <w:sz w:val="32"/>
          <w:szCs w:val="32"/>
          <w:u w:val="single"/>
        </w:rPr>
        <w:t>日</w:t>
      </w:r>
    </w:p>
    <w:p>
      <w:pPr>
        <w:pageBreakBefore w:val="0"/>
        <w:kinsoku/>
        <w:wordWrap/>
        <w:overflowPunct/>
        <w:topLinePunct w:val="0"/>
        <w:bidi w:val="0"/>
        <w:adjustRightInd w:val="0"/>
        <w:snapToGrid w:val="0"/>
        <w:spacing w:line="600" w:lineRule="exact"/>
        <w:ind w:firstLine="640"/>
        <w:rPr>
          <w:rFonts w:ascii="仿宋" w:hAnsi="仿宋" w:eastAsia="仿宋"/>
          <w:sz w:val="32"/>
          <w:szCs w:val="32"/>
        </w:rPr>
      </w:pPr>
    </w:p>
    <w:p>
      <w:pPr>
        <w:pageBreakBefore w:val="0"/>
        <w:kinsoku/>
        <w:wordWrap/>
        <w:overflowPunct/>
        <w:topLinePunct w:val="0"/>
        <w:bidi w:val="0"/>
        <w:adjustRightInd w:val="0"/>
        <w:snapToGrid w:val="0"/>
        <w:spacing w:line="600" w:lineRule="exact"/>
        <w:ind w:firstLine="640"/>
        <w:rPr>
          <w:rFonts w:ascii="仿宋" w:hAnsi="仿宋" w:eastAsia="仿宋"/>
          <w:sz w:val="32"/>
          <w:szCs w:val="32"/>
        </w:rPr>
      </w:pPr>
    </w:p>
    <w:p>
      <w:pPr>
        <w:pageBreakBefore w:val="0"/>
        <w:kinsoku/>
        <w:wordWrap/>
        <w:overflowPunct/>
        <w:topLinePunct w:val="0"/>
        <w:bidi w:val="0"/>
        <w:adjustRightInd w:val="0"/>
        <w:snapToGrid w:val="0"/>
        <w:spacing w:line="600" w:lineRule="exact"/>
        <w:ind w:firstLine="640"/>
        <w:rPr>
          <w:rFonts w:ascii="仿宋" w:hAnsi="仿宋" w:eastAsia="仿宋"/>
          <w:sz w:val="32"/>
          <w:szCs w:val="32"/>
        </w:rPr>
      </w:pPr>
    </w:p>
    <w:p>
      <w:pPr>
        <w:pStyle w:val="5"/>
        <w:pageBreakBefore w:val="0"/>
        <w:tabs>
          <w:tab w:val="left" w:pos="4533"/>
        </w:tabs>
        <w:kinsoku/>
        <w:wordWrap/>
        <w:overflowPunct/>
        <w:topLinePunct w:val="0"/>
        <w:bidi w:val="0"/>
        <w:spacing w:before="0" w:after="0" w:line="600" w:lineRule="exact"/>
        <w:ind w:firstLine="0" w:firstLineChars="0"/>
        <w:jc w:val="center"/>
        <w:rPr>
          <w:sz w:val="44"/>
          <w:szCs w:val="44"/>
        </w:rPr>
      </w:pPr>
      <w:r>
        <w:rPr>
          <w:sz w:val="44"/>
          <w:szCs w:val="44"/>
        </w:rPr>
        <w:t>目录</w:t>
      </w:r>
    </w:p>
    <w:p/>
    <w:p>
      <w:pPr>
        <w:pStyle w:val="10"/>
        <w:pageBreakBefore w:val="0"/>
        <w:kinsoku/>
        <w:wordWrap/>
        <w:overflowPunct/>
        <w:topLinePunct w:val="0"/>
        <w:bidi w:val="0"/>
        <w:spacing w:after="0" w:line="600" w:lineRule="exact"/>
        <w:rPr>
          <w:rFonts w:hint="eastAsia" w:ascii="宋体" w:hAnsi="宋体" w:eastAsia="宋体" w:cs="宋体"/>
          <w:b/>
          <w:bCs/>
          <w:sz w:val="32"/>
          <w:szCs w:val="32"/>
        </w:rPr>
      </w:pPr>
      <w:r>
        <w:rPr>
          <w:rFonts w:hint="eastAsia" w:ascii="宋体" w:hAnsi="宋体" w:eastAsia="宋体" w:cs="宋体"/>
          <w:b/>
          <w:bCs/>
          <w:sz w:val="32"/>
          <w:szCs w:val="32"/>
        </w:rPr>
        <w:t>第一部分单位概况</w:t>
      </w:r>
    </w:p>
    <w:p>
      <w:pPr>
        <w:pStyle w:val="10"/>
        <w:pageBreakBefore w:val="0"/>
        <w:kinsoku/>
        <w:wordWrap/>
        <w:overflowPunct/>
        <w:topLinePunct w:val="0"/>
        <w:bidi w:val="0"/>
        <w:spacing w:after="0" w:line="600" w:lineRule="exact"/>
        <w:rPr>
          <w:rFonts w:hint="eastAsia" w:ascii="宋体" w:hAnsi="宋体" w:eastAsia="宋体" w:cs="宋体"/>
          <w:sz w:val="32"/>
          <w:szCs w:val="32"/>
          <w:highlight w:val="yellow"/>
        </w:rPr>
      </w:pPr>
      <w:r>
        <w:rPr>
          <w:rFonts w:hint="eastAsia" w:ascii="宋体" w:hAnsi="宋体" w:eastAsia="宋体" w:cs="宋体"/>
          <w:w w:val="95"/>
          <w:sz w:val="32"/>
          <w:szCs w:val="32"/>
        </w:rPr>
        <w:t>一、主要职能</w:t>
      </w:r>
      <w:r>
        <w:rPr>
          <w:rFonts w:hint="eastAsia" w:ascii="宋体" w:hAnsi="宋体" w:eastAsia="宋体" w:cs="宋体"/>
          <w:w w:val="95"/>
          <w:sz w:val="32"/>
          <w:szCs w:val="32"/>
          <w:lang w:eastAsia="zh-CN"/>
        </w:rPr>
        <w:t>、</w:t>
      </w:r>
      <w:r>
        <w:rPr>
          <w:rFonts w:hint="eastAsia" w:ascii="宋体" w:hAnsi="宋体" w:eastAsia="宋体" w:cs="宋体"/>
          <w:w w:val="95"/>
          <w:sz w:val="32"/>
          <w:szCs w:val="32"/>
        </w:rPr>
        <w:t>职责</w:t>
      </w:r>
    </w:p>
    <w:p>
      <w:pPr>
        <w:pStyle w:val="10"/>
        <w:pageBreakBefore w:val="0"/>
        <w:kinsoku/>
        <w:wordWrap/>
        <w:overflowPunct/>
        <w:topLinePunct w:val="0"/>
        <w:bidi w:val="0"/>
        <w:spacing w:after="0" w:line="600" w:lineRule="exact"/>
        <w:rPr>
          <w:rFonts w:hint="eastAsia" w:ascii="宋体" w:hAnsi="宋体" w:eastAsia="宋体" w:cs="宋体"/>
          <w:sz w:val="32"/>
          <w:szCs w:val="32"/>
        </w:rPr>
      </w:pPr>
      <w:r>
        <w:rPr>
          <w:rFonts w:hint="eastAsia" w:ascii="宋体" w:hAnsi="宋体" w:eastAsia="宋体" w:cs="宋体"/>
          <w:sz w:val="32"/>
          <w:szCs w:val="32"/>
        </w:rPr>
        <w:t>二、单位机构设置及预算单位构成情况</w:t>
      </w:r>
    </w:p>
    <w:p>
      <w:pPr>
        <w:pStyle w:val="10"/>
        <w:pageBreakBefore w:val="0"/>
        <w:kinsoku/>
        <w:wordWrap/>
        <w:overflowPunct/>
        <w:topLinePunct w:val="0"/>
        <w:bidi w:val="0"/>
        <w:spacing w:after="0" w:line="600" w:lineRule="exact"/>
        <w:rPr>
          <w:rFonts w:hint="eastAsia" w:ascii="宋体" w:hAnsi="宋体" w:eastAsia="宋体" w:cs="宋体"/>
          <w:sz w:val="32"/>
          <w:szCs w:val="32"/>
          <w:highlight w:val="none"/>
        </w:rPr>
      </w:pPr>
      <w:r>
        <w:rPr>
          <w:rFonts w:hint="eastAsia" w:ascii="宋体" w:hAnsi="宋体" w:eastAsia="宋体" w:cs="宋体"/>
          <w:sz w:val="32"/>
          <w:szCs w:val="32"/>
          <w:highlight w:val="none"/>
        </w:rPr>
        <w:t>三、</w:t>
      </w:r>
      <w:r>
        <w:rPr>
          <w:rFonts w:hint="eastAsia" w:ascii="宋体" w:hAnsi="宋体" w:eastAsia="宋体" w:cs="宋体"/>
          <w:sz w:val="32"/>
          <w:szCs w:val="32"/>
          <w:highlight w:val="none"/>
          <w:lang w:val="en-US" w:eastAsia="zh-CN"/>
        </w:rPr>
        <w:t>2025</w:t>
      </w:r>
      <w:r>
        <w:rPr>
          <w:rFonts w:hint="eastAsia" w:ascii="宋体" w:hAnsi="宋体" w:eastAsia="宋体" w:cs="宋体"/>
          <w:sz w:val="32"/>
          <w:szCs w:val="32"/>
          <w:highlight w:val="none"/>
        </w:rPr>
        <w:t>年度单位主要工作任务及目标</w:t>
      </w:r>
    </w:p>
    <w:p>
      <w:pPr>
        <w:pStyle w:val="10"/>
        <w:pageBreakBefore w:val="0"/>
        <w:kinsoku/>
        <w:wordWrap/>
        <w:overflowPunct/>
        <w:topLinePunct w:val="0"/>
        <w:bidi w:val="0"/>
        <w:spacing w:after="0" w:line="600" w:lineRule="exact"/>
        <w:rPr>
          <w:rFonts w:hint="eastAsia" w:ascii="宋体" w:hAnsi="宋体" w:eastAsia="宋体" w:cs="宋体"/>
          <w:b/>
          <w:bCs/>
          <w:sz w:val="32"/>
          <w:szCs w:val="32"/>
        </w:rPr>
      </w:pPr>
      <w:r>
        <w:rPr>
          <w:rFonts w:hint="eastAsia" w:ascii="宋体" w:hAnsi="宋体" w:eastAsia="宋体" w:cs="宋体"/>
          <w:b/>
          <w:bCs/>
          <w:sz w:val="32"/>
          <w:szCs w:val="32"/>
        </w:rPr>
        <w:t>第二部分</w:t>
      </w:r>
      <w:r>
        <w:rPr>
          <w:rFonts w:hint="eastAsia" w:ascii="宋体" w:hAnsi="宋体" w:eastAsia="宋体" w:cs="宋体"/>
          <w:b/>
          <w:bCs/>
          <w:sz w:val="32"/>
          <w:szCs w:val="32"/>
          <w:lang w:val="en-US" w:eastAsia="zh-CN"/>
        </w:rPr>
        <w:t>2025</w:t>
      </w:r>
      <w:r>
        <w:rPr>
          <w:rFonts w:hint="eastAsia" w:ascii="宋体" w:hAnsi="宋体" w:eastAsia="宋体" w:cs="宋体"/>
          <w:b/>
          <w:bCs/>
          <w:sz w:val="32"/>
          <w:szCs w:val="32"/>
        </w:rPr>
        <w:t>年度单位预算情况说明</w:t>
      </w:r>
    </w:p>
    <w:p>
      <w:pPr>
        <w:pStyle w:val="10"/>
        <w:pageBreakBefore w:val="0"/>
        <w:kinsoku/>
        <w:wordWrap/>
        <w:overflowPunct/>
        <w:topLinePunct w:val="0"/>
        <w:bidi w:val="0"/>
        <w:spacing w:after="0" w:line="600" w:lineRule="exact"/>
        <w:rPr>
          <w:rFonts w:hint="eastAsia" w:ascii="宋体" w:hAnsi="宋体" w:eastAsia="宋体" w:cs="宋体"/>
          <w:sz w:val="32"/>
          <w:szCs w:val="32"/>
        </w:rPr>
      </w:pPr>
      <w:r>
        <w:rPr>
          <w:rFonts w:hint="eastAsia" w:ascii="宋体" w:hAnsi="宋体" w:eastAsia="宋体" w:cs="宋体"/>
          <w:sz w:val="32"/>
          <w:szCs w:val="32"/>
        </w:rPr>
        <w:t>一、收支预算总体情况说明</w:t>
      </w:r>
    </w:p>
    <w:p>
      <w:pPr>
        <w:pStyle w:val="10"/>
        <w:pageBreakBefore w:val="0"/>
        <w:kinsoku/>
        <w:wordWrap/>
        <w:overflowPunct/>
        <w:topLinePunct w:val="0"/>
        <w:bidi w:val="0"/>
        <w:spacing w:after="0" w:line="600" w:lineRule="exact"/>
        <w:rPr>
          <w:rFonts w:hint="eastAsia" w:ascii="宋体" w:hAnsi="宋体" w:eastAsia="宋体" w:cs="宋体"/>
          <w:sz w:val="32"/>
          <w:szCs w:val="32"/>
        </w:rPr>
      </w:pPr>
      <w:r>
        <w:rPr>
          <w:rFonts w:hint="eastAsia" w:ascii="宋体" w:hAnsi="宋体" w:eastAsia="宋体" w:cs="宋体"/>
          <w:sz w:val="32"/>
          <w:szCs w:val="32"/>
        </w:rPr>
        <w:t>二、收入预算情况说明</w:t>
      </w:r>
    </w:p>
    <w:p>
      <w:pPr>
        <w:pStyle w:val="10"/>
        <w:pageBreakBefore w:val="0"/>
        <w:kinsoku/>
        <w:wordWrap/>
        <w:overflowPunct/>
        <w:topLinePunct w:val="0"/>
        <w:bidi w:val="0"/>
        <w:spacing w:after="0" w:line="600" w:lineRule="exact"/>
        <w:rPr>
          <w:rFonts w:hint="eastAsia" w:ascii="宋体" w:hAnsi="宋体" w:eastAsia="宋体" w:cs="宋体"/>
          <w:sz w:val="32"/>
          <w:szCs w:val="32"/>
        </w:rPr>
      </w:pPr>
      <w:r>
        <w:rPr>
          <w:rFonts w:hint="eastAsia" w:ascii="宋体" w:hAnsi="宋体" w:eastAsia="宋体" w:cs="宋体"/>
          <w:sz w:val="32"/>
          <w:szCs w:val="32"/>
        </w:rPr>
        <w:t>三、支出预算情况说明</w:t>
      </w:r>
    </w:p>
    <w:p>
      <w:pPr>
        <w:pStyle w:val="10"/>
        <w:pageBreakBefore w:val="0"/>
        <w:kinsoku/>
        <w:wordWrap/>
        <w:overflowPunct/>
        <w:topLinePunct w:val="0"/>
        <w:bidi w:val="0"/>
        <w:spacing w:after="0" w:line="600" w:lineRule="exact"/>
        <w:rPr>
          <w:rFonts w:hint="eastAsia" w:ascii="宋体" w:hAnsi="宋体" w:eastAsia="宋体" w:cs="宋体"/>
          <w:sz w:val="32"/>
          <w:szCs w:val="32"/>
        </w:rPr>
      </w:pPr>
      <w:r>
        <w:rPr>
          <w:rFonts w:hint="eastAsia" w:ascii="宋体" w:hAnsi="宋体" w:eastAsia="宋体" w:cs="宋体"/>
          <w:sz w:val="32"/>
          <w:szCs w:val="32"/>
        </w:rPr>
        <w:t>四、财政拨款收支预算总体情况说明</w:t>
      </w:r>
    </w:p>
    <w:p>
      <w:pPr>
        <w:pStyle w:val="10"/>
        <w:pageBreakBefore w:val="0"/>
        <w:kinsoku/>
        <w:wordWrap/>
        <w:overflowPunct/>
        <w:topLinePunct w:val="0"/>
        <w:bidi w:val="0"/>
        <w:spacing w:after="0" w:line="600" w:lineRule="exact"/>
        <w:rPr>
          <w:rFonts w:hint="eastAsia" w:ascii="宋体" w:hAnsi="宋体" w:eastAsia="宋体" w:cs="宋体"/>
          <w:sz w:val="32"/>
          <w:szCs w:val="32"/>
        </w:rPr>
      </w:pPr>
      <w:r>
        <w:rPr>
          <w:rFonts w:hint="eastAsia" w:ascii="宋体" w:hAnsi="宋体" w:eastAsia="宋体" w:cs="宋体"/>
          <w:sz w:val="32"/>
          <w:szCs w:val="32"/>
        </w:rPr>
        <w:t>五、一般公共预算支出预算情况说明</w:t>
      </w:r>
    </w:p>
    <w:p>
      <w:pPr>
        <w:pStyle w:val="10"/>
        <w:pageBreakBefore w:val="0"/>
        <w:kinsoku/>
        <w:wordWrap/>
        <w:overflowPunct/>
        <w:topLinePunct w:val="0"/>
        <w:bidi w:val="0"/>
        <w:spacing w:after="0" w:line="600" w:lineRule="exact"/>
        <w:rPr>
          <w:rFonts w:hint="eastAsia" w:ascii="宋体" w:hAnsi="宋体" w:eastAsia="宋体" w:cs="宋体"/>
          <w:sz w:val="32"/>
          <w:szCs w:val="32"/>
        </w:rPr>
      </w:pPr>
      <w:r>
        <w:rPr>
          <w:rFonts w:hint="eastAsia" w:ascii="宋体" w:hAnsi="宋体" w:eastAsia="宋体" w:cs="宋体"/>
          <w:sz w:val="32"/>
          <w:szCs w:val="32"/>
        </w:rPr>
        <w:t>六、一般公共预算基本支出预算情况说明</w:t>
      </w:r>
    </w:p>
    <w:p>
      <w:pPr>
        <w:pStyle w:val="10"/>
        <w:pageBreakBefore w:val="0"/>
        <w:kinsoku/>
        <w:wordWrap/>
        <w:overflowPunct/>
        <w:topLinePunct w:val="0"/>
        <w:bidi w:val="0"/>
        <w:spacing w:after="0" w:line="600" w:lineRule="exact"/>
        <w:rPr>
          <w:rFonts w:hint="eastAsia" w:ascii="宋体" w:hAnsi="宋体" w:eastAsia="宋体" w:cs="宋体"/>
          <w:sz w:val="32"/>
          <w:szCs w:val="32"/>
        </w:rPr>
      </w:pPr>
      <w:r>
        <w:rPr>
          <w:rFonts w:hint="eastAsia" w:ascii="宋体" w:hAnsi="宋体" w:eastAsia="宋体" w:cs="宋体"/>
          <w:sz w:val="32"/>
          <w:szCs w:val="32"/>
        </w:rPr>
        <w:t>七、一般公共预算“三公”经费支出预算情况说明</w:t>
      </w:r>
    </w:p>
    <w:p>
      <w:pPr>
        <w:pStyle w:val="10"/>
        <w:pageBreakBefore w:val="0"/>
        <w:kinsoku/>
        <w:wordWrap/>
        <w:overflowPunct/>
        <w:topLinePunct w:val="0"/>
        <w:bidi w:val="0"/>
        <w:spacing w:after="0" w:line="600" w:lineRule="exact"/>
        <w:rPr>
          <w:rFonts w:hint="eastAsia" w:ascii="宋体" w:hAnsi="宋体" w:eastAsia="宋体" w:cs="宋体"/>
          <w:sz w:val="32"/>
          <w:szCs w:val="32"/>
        </w:rPr>
      </w:pPr>
      <w:r>
        <w:rPr>
          <w:rFonts w:hint="eastAsia" w:ascii="宋体" w:hAnsi="宋体" w:eastAsia="宋体" w:cs="宋体"/>
          <w:sz w:val="32"/>
          <w:szCs w:val="32"/>
        </w:rPr>
        <w:t>八、政府性基金预算支出预算情况说明</w:t>
      </w:r>
    </w:p>
    <w:p>
      <w:pPr>
        <w:pStyle w:val="10"/>
        <w:pageBreakBefore w:val="0"/>
        <w:kinsoku/>
        <w:wordWrap/>
        <w:overflowPunct/>
        <w:topLinePunct w:val="0"/>
        <w:bidi w:val="0"/>
        <w:spacing w:after="0" w:line="600" w:lineRule="exact"/>
        <w:rPr>
          <w:rFonts w:hint="eastAsia" w:ascii="宋体" w:hAnsi="宋体" w:eastAsia="宋体" w:cs="宋体"/>
          <w:sz w:val="32"/>
          <w:szCs w:val="32"/>
        </w:rPr>
      </w:pPr>
      <w:r>
        <w:rPr>
          <w:rFonts w:hint="eastAsia" w:ascii="宋体" w:hAnsi="宋体" w:eastAsia="宋体" w:cs="宋体"/>
          <w:sz w:val="32"/>
          <w:szCs w:val="32"/>
        </w:rPr>
        <w:t>九、国有资本经营预算支出预算情况说明</w:t>
      </w:r>
    </w:p>
    <w:p>
      <w:pPr>
        <w:pStyle w:val="10"/>
        <w:pageBreakBefore w:val="0"/>
        <w:kinsoku/>
        <w:wordWrap/>
        <w:overflowPunct/>
        <w:topLinePunct w:val="0"/>
        <w:bidi w:val="0"/>
        <w:spacing w:after="0" w:line="600" w:lineRule="exact"/>
        <w:rPr>
          <w:rFonts w:hint="eastAsia" w:ascii="宋体" w:hAnsi="宋体" w:eastAsia="宋体" w:cs="宋体"/>
          <w:sz w:val="32"/>
          <w:szCs w:val="32"/>
        </w:rPr>
      </w:pPr>
      <w:r>
        <w:rPr>
          <w:rFonts w:hint="eastAsia" w:ascii="宋体" w:hAnsi="宋体" w:eastAsia="宋体" w:cs="宋体"/>
          <w:sz w:val="32"/>
          <w:szCs w:val="32"/>
        </w:rPr>
        <w:t>十、项目支出预算情况说明</w:t>
      </w:r>
    </w:p>
    <w:p>
      <w:pPr>
        <w:pStyle w:val="10"/>
        <w:pageBreakBefore w:val="0"/>
        <w:kinsoku/>
        <w:wordWrap/>
        <w:overflowPunct/>
        <w:topLinePunct w:val="0"/>
        <w:bidi w:val="0"/>
        <w:spacing w:after="0" w:line="600" w:lineRule="exact"/>
        <w:rPr>
          <w:rFonts w:hint="eastAsia" w:ascii="宋体" w:hAnsi="宋体" w:eastAsia="宋体" w:cs="宋体"/>
          <w:sz w:val="32"/>
          <w:szCs w:val="32"/>
        </w:rPr>
      </w:pPr>
      <w:r>
        <w:rPr>
          <w:rFonts w:hint="eastAsia" w:ascii="宋体" w:hAnsi="宋体" w:eastAsia="宋体" w:cs="宋体"/>
          <w:sz w:val="32"/>
          <w:szCs w:val="32"/>
        </w:rPr>
        <w:t>十一、一般公共预算机关运行经费支出预算情况说明</w:t>
      </w:r>
    </w:p>
    <w:p>
      <w:pPr>
        <w:pStyle w:val="10"/>
        <w:pageBreakBefore w:val="0"/>
        <w:kinsoku/>
        <w:wordWrap/>
        <w:overflowPunct/>
        <w:topLinePunct w:val="0"/>
        <w:bidi w:val="0"/>
        <w:spacing w:after="0" w:line="600" w:lineRule="exact"/>
        <w:rPr>
          <w:rFonts w:hint="eastAsia" w:ascii="宋体" w:hAnsi="宋体" w:eastAsia="宋体" w:cs="宋体"/>
          <w:sz w:val="32"/>
          <w:szCs w:val="32"/>
        </w:rPr>
      </w:pPr>
      <w:r>
        <w:rPr>
          <w:rFonts w:hint="eastAsia" w:ascii="宋体" w:hAnsi="宋体" w:eastAsia="宋体" w:cs="宋体"/>
          <w:sz w:val="32"/>
          <w:szCs w:val="32"/>
        </w:rPr>
        <w:t>十二、政府采购支出预算情况说明</w:t>
      </w:r>
    </w:p>
    <w:p>
      <w:pPr>
        <w:pStyle w:val="10"/>
        <w:pageBreakBefore w:val="0"/>
        <w:kinsoku/>
        <w:wordWrap/>
        <w:overflowPunct/>
        <w:topLinePunct w:val="0"/>
        <w:bidi w:val="0"/>
        <w:spacing w:after="0" w:line="600" w:lineRule="exact"/>
        <w:rPr>
          <w:rFonts w:hint="eastAsia" w:ascii="宋体" w:hAnsi="宋体" w:eastAsia="宋体" w:cs="宋体"/>
          <w:sz w:val="32"/>
          <w:szCs w:val="32"/>
        </w:rPr>
      </w:pPr>
      <w:r>
        <w:rPr>
          <w:rFonts w:hint="eastAsia" w:ascii="宋体" w:hAnsi="宋体" w:eastAsia="宋体" w:cs="宋体"/>
          <w:sz w:val="32"/>
          <w:szCs w:val="32"/>
        </w:rPr>
        <w:t>十三、国有资产占用情况说明</w:t>
      </w:r>
    </w:p>
    <w:p>
      <w:pPr>
        <w:pageBreakBefore w:val="0"/>
        <w:widowControl/>
        <w:kinsoku/>
        <w:wordWrap/>
        <w:overflowPunct/>
        <w:topLinePunct w:val="0"/>
        <w:bidi w:val="0"/>
        <w:spacing w:line="600" w:lineRule="exact"/>
        <w:jc w:val="left"/>
        <w:rPr>
          <w:rFonts w:hint="eastAsia" w:ascii="宋体" w:hAnsi="宋体" w:eastAsia="宋体" w:cs="宋体"/>
          <w:sz w:val="32"/>
          <w:szCs w:val="32"/>
          <w:lang w:eastAsia="zh-CN"/>
        </w:rPr>
      </w:pPr>
      <w:r>
        <w:rPr>
          <w:rFonts w:hint="eastAsia" w:ascii="宋体" w:hAnsi="宋体" w:eastAsia="宋体" w:cs="宋体"/>
          <w:sz w:val="32"/>
          <w:szCs w:val="32"/>
        </w:rPr>
        <w:t>十四、项目绩效目标情况说明</w:t>
      </w:r>
    </w:p>
    <w:p>
      <w:pPr>
        <w:pStyle w:val="10"/>
        <w:pageBreakBefore w:val="0"/>
        <w:kinsoku/>
        <w:wordWrap/>
        <w:overflowPunct/>
        <w:topLinePunct w:val="0"/>
        <w:bidi w:val="0"/>
        <w:spacing w:after="0" w:line="600" w:lineRule="exact"/>
        <w:rPr>
          <w:rFonts w:hint="eastAsia" w:ascii="宋体" w:hAnsi="宋体" w:eastAsia="宋体" w:cs="宋体"/>
          <w:b/>
          <w:bCs/>
          <w:sz w:val="32"/>
          <w:szCs w:val="32"/>
        </w:rPr>
      </w:pPr>
      <w:r>
        <w:rPr>
          <w:rFonts w:hint="eastAsia" w:ascii="宋体" w:hAnsi="宋体" w:eastAsia="宋体" w:cs="宋体"/>
          <w:b/>
          <w:bCs/>
          <w:sz w:val="32"/>
          <w:szCs w:val="32"/>
        </w:rPr>
        <w:t>第三部分名词解释</w:t>
      </w:r>
    </w:p>
    <w:p>
      <w:pPr>
        <w:pStyle w:val="10"/>
        <w:pageBreakBefore w:val="0"/>
        <w:kinsoku/>
        <w:wordWrap/>
        <w:overflowPunct/>
        <w:topLinePunct w:val="0"/>
        <w:bidi w:val="0"/>
        <w:spacing w:after="0" w:line="600" w:lineRule="exact"/>
        <w:rPr>
          <w:rFonts w:hint="eastAsia" w:ascii="宋体" w:hAnsi="宋体" w:eastAsia="宋体" w:cs="宋体"/>
          <w:b/>
          <w:bCs/>
          <w:sz w:val="32"/>
          <w:szCs w:val="32"/>
        </w:rPr>
      </w:pPr>
      <w:r>
        <w:rPr>
          <w:rFonts w:hint="eastAsia" w:ascii="宋体" w:hAnsi="宋体" w:eastAsia="宋体" w:cs="宋体"/>
          <w:b/>
          <w:bCs/>
          <w:sz w:val="32"/>
          <w:szCs w:val="32"/>
        </w:rPr>
        <w:t>第四部分预算公开联系方式及信息反馈渠道</w:t>
      </w:r>
    </w:p>
    <w:p>
      <w:pPr>
        <w:pStyle w:val="10"/>
        <w:pageBreakBefore w:val="0"/>
        <w:kinsoku/>
        <w:wordWrap/>
        <w:overflowPunct/>
        <w:topLinePunct w:val="0"/>
        <w:bidi w:val="0"/>
        <w:spacing w:after="0" w:line="600" w:lineRule="exact"/>
        <w:rPr>
          <w:rFonts w:hint="eastAsia" w:ascii="宋体" w:hAnsi="宋体" w:eastAsia="宋体" w:cs="宋体"/>
          <w:b/>
          <w:bCs/>
          <w:sz w:val="32"/>
          <w:szCs w:val="32"/>
        </w:rPr>
      </w:pPr>
      <w:r>
        <w:rPr>
          <w:rFonts w:hint="eastAsia" w:ascii="宋体" w:hAnsi="宋体" w:eastAsia="宋体" w:cs="宋体"/>
          <w:b/>
          <w:bCs/>
          <w:sz w:val="32"/>
          <w:szCs w:val="32"/>
        </w:rPr>
        <w:t>第五部分</w:t>
      </w:r>
      <w:r>
        <w:rPr>
          <w:rFonts w:hint="eastAsia" w:ascii="宋体" w:hAnsi="宋体" w:eastAsia="宋体" w:cs="宋体"/>
          <w:b/>
          <w:bCs/>
          <w:sz w:val="32"/>
          <w:szCs w:val="32"/>
          <w:lang w:val="en-US" w:eastAsia="zh-CN"/>
        </w:rPr>
        <w:t>2025</w:t>
      </w:r>
      <w:r>
        <w:rPr>
          <w:rFonts w:hint="eastAsia" w:ascii="宋体" w:hAnsi="宋体" w:eastAsia="宋体" w:cs="宋体"/>
          <w:b/>
          <w:bCs/>
          <w:sz w:val="32"/>
          <w:szCs w:val="32"/>
        </w:rPr>
        <w:t>年度单位预算表</w:t>
      </w:r>
    </w:p>
    <w:p>
      <w:pPr>
        <w:pStyle w:val="10"/>
        <w:pageBreakBefore w:val="0"/>
        <w:numPr>
          <w:ilvl w:val="0"/>
          <w:numId w:val="1"/>
        </w:numPr>
        <w:kinsoku/>
        <w:wordWrap/>
        <w:overflowPunct/>
        <w:topLinePunct w:val="0"/>
        <w:bidi w:val="0"/>
        <w:spacing w:after="0" w:line="600" w:lineRule="exact"/>
        <w:rPr>
          <w:rFonts w:hint="eastAsia" w:ascii="宋体" w:hAnsi="宋体" w:eastAsia="宋体" w:cs="宋体"/>
          <w:sz w:val="32"/>
          <w:szCs w:val="32"/>
        </w:rPr>
      </w:pPr>
      <w:r>
        <w:rPr>
          <w:rFonts w:hint="eastAsia" w:ascii="宋体" w:hAnsi="宋体" w:eastAsia="宋体" w:cs="宋体"/>
          <w:sz w:val="32"/>
          <w:szCs w:val="32"/>
        </w:rPr>
        <w:t>收支总表</w:t>
      </w:r>
    </w:p>
    <w:p>
      <w:pPr>
        <w:pStyle w:val="10"/>
        <w:pageBreakBefore w:val="0"/>
        <w:kinsoku/>
        <w:wordWrap/>
        <w:overflowPunct/>
        <w:topLinePunct w:val="0"/>
        <w:bidi w:val="0"/>
        <w:spacing w:after="0" w:line="600" w:lineRule="exact"/>
        <w:rPr>
          <w:rFonts w:hint="eastAsia" w:ascii="宋体" w:hAnsi="宋体" w:eastAsia="宋体" w:cs="宋体"/>
          <w:sz w:val="32"/>
          <w:szCs w:val="32"/>
        </w:rPr>
      </w:pPr>
      <w:r>
        <w:rPr>
          <w:rFonts w:hint="eastAsia" w:ascii="宋体" w:hAnsi="宋体" w:eastAsia="宋体" w:cs="宋体"/>
          <w:sz w:val="32"/>
          <w:szCs w:val="32"/>
        </w:rPr>
        <w:t>二、收入总表</w:t>
      </w:r>
    </w:p>
    <w:p>
      <w:pPr>
        <w:pStyle w:val="10"/>
        <w:pageBreakBefore w:val="0"/>
        <w:kinsoku/>
        <w:wordWrap/>
        <w:overflowPunct/>
        <w:topLinePunct w:val="0"/>
        <w:bidi w:val="0"/>
        <w:spacing w:after="0" w:line="600" w:lineRule="exact"/>
        <w:rPr>
          <w:rFonts w:hint="eastAsia" w:ascii="宋体" w:hAnsi="宋体" w:eastAsia="宋体" w:cs="宋体"/>
          <w:sz w:val="32"/>
          <w:szCs w:val="32"/>
        </w:rPr>
      </w:pPr>
      <w:r>
        <w:rPr>
          <w:rFonts w:hint="eastAsia" w:ascii="宋体" w:hAnsi="宋体" w:eastAsia="宋体" w:cs="宋体"/>
          <w:w w:val="95"/>
          <w:sz w:val="32"/>
          <w:szCs w:val="32"/>
        </w:rPr>
        <w:t>三、支出总表</w:t>
      </w:r>
    </w:p>
    <w:p>
      <w:pPr>
        <w:pStyle w:val="10"/>
        <w:pageBreakBefore w:val="0"/>
        <w:kinsoku/>
        <w:wordWrap/>
        <w:overflowPunct/>
        <w:topLinePunct w:val="0"/>
        <w:bidi w:val="0"/>
        <w:spacing w:after="0" w:line="600" w:lineRule="exact"/>
        <w:rPr>
          <w:rFonts w:hint="eastAsia" w:ascii="宋体" w:hAnsi="宋体" w:eastAsia="宋体" w:cs="宋体"/>
          <w:sz w:val="32"/>
          <w:szCs w:val="32"/>
        </w:rPr>
      </w:pPr>
      <w:r>
        <w:rPr>
          <w:rFonts w:hint="eastAsia" w:ascii="宋体" w:hAnsi="宋体" w:eastAsia="宋体" w:cs="宋体"/>
          <w:w w:val="95"/>
          <w:sz w:val="32"/>
          <w:szCs w:val="32"/>
        </w:rPr>
        <w:t>四、财政拨款收支总表</w:t>
      </w:r>
    </w:p>
    <w:p>
      <w:pPr>
        <w:pStyle w:val="10"/>
        <w:pageBreakBefore w:val="0"/>
        <w:kinsoku/>
        <w:wordWrap/>
        <w:overflowPunct/>
        <w:topLinePunct w:val="0"/>
        <w:bidi w:val="0"/>
        <w:spacing w:after="0" w:line="600" w:lineRule="exact"/>
        <w:rPr>
          <w:rFonts w:hint="eastAsia" w:ascii="宋体" w:hAnsi="宋体" w:eastAsia="宋体" w:cs="宋体"/>
          <w:sz w:val="32"/>
          <w:szCs w:val="32"/>
        </w:rPr>
      </w:pPr>
      <w:r>
        <w:rPr>
          <w:rFonts w:hint="eastAsia" w:ascii="宋体" w:hAnsi="宋体" w:eastAsia="宋体" w:cs="宋体"/>
          <w:w w:val="95"/>
          <w:sz w:val="32"/>
          <w:szCs w:val="32"/>
        </w:rPr>
        <w:t>五、一般公共预算支出表</w:t>
      </w:r>
    </w:p>
    <w:p>
      <w:pPr>
        <w:pStyle w:val="10"/>
        <w:pageBreakBefore w:val="0"/>
        <w:kinsoku/>
        <w:wordWrap/>
        <w:overflowPunct/>
        <w:topLinePunct w:val="0"/>
        <w:bidi w:val="0"/>
        <w:spacing w:after="0" w:line="600" w:lineRule="exact"/>
        <w:rPr>
          <w:rFonts w:hint="eastAsia" w:ascii="宋体" w:hAnsi="宋体" w:eastAsia="宋体" w:cs="宋体"/>
          <w:sz w:val="32"/>
          <w:szCs w:val="32"/>
        </w:rPr>
      </w:pPr>
      <w:r>
        <w:rPr>
          <w:rFonts w:hint="eastAsia" w:ascii="宋体" w:hAnsi="宋体" w:eastAsia="宋体" w:cs="宋体"/>
          <w:w w:val="95"/>
          <w:sz w:val="32"/>
          <w:szCs w:val="32"/>
        </w:rPr>
        <w:t>六、一般公共预算基本支出表</w:t>
      </w:r>
    </w:p>
    <w:p>
      <w:pPr>
        <w:pStyle w:val="10"/>
        <w:pageBreakBefore w:val="0"/>
        <w:kinsoku/>
        <w:wordWrap/>
        <w:overflowPunct/>
        <w:topLinePunct w:val="0"/>
        <w:bidi w:val="0"/>
        <w:spacing w:after="0" w:line="600" w:lineRule="exact"/>
        <w:rPr>
          <w:rFonts w:hint="eastAsia" w:ascii="宋体" w:hAnsi="宋体" w:eastAsia="宋体" w:cs="宋体"/>
          <w:spacing w:val="-16"/>
          <w:w w:val="95"/>
          <w:sz w:val="32"/>
          <w:szCs w:val="32"/>
        </w:rPr>
      </w:pPr>
      <w:r>
        <w:rPr>
          <w:rFonts w:hint="eastAsia" w:ascii="宋体" w:hAnsi="宋体" w:eastAsia="宋体" w:cs="宋体"/>
          <w:spacing w:val="-17"/>
          <w:w w:val="95"/>
          <w:sz w:val="32"/>
          <w:szCs w:val="32"/>
        </w:rPr>
        <w:t>七、一般公共预算</w:t>
      </w:r>
      <w:r>
        <w:rPr>
          <w:rFonts w:hint="eastAsia" w:ascii="宋体" w:hAnsi="宋体" w:eastAsia="宋体" w:cs="宋体"/>
          <w:spacing w:val="-8"/>
          <w:w w:val="95"/>
          <w:sz w:val="32"/>
          <w:szCs w:val="32"/>
        </w:rPr>
        <w:t>“</w:t>
      </w:r>
      <w:r>
        <w:rPr>
          <w:rFonts w:hint="eastAsia" w:ascii="宋体" w:hAnsi="宋体" w:eastAsia="宋体" w:cs="宋体"/>
          <w:spacing w:val="-15"/>
          <w:w w:val="95"/>
          <w:sz w:val="32"/>
          <w:szCs w:val="32"/>
        </w:rPr>
        <w:t>三公</w:t>
      </w:r>
      <w:r>
        <w:rPr>
          <w:rFonts w:hint="eastAsia" w:ascii="宋体" w:hAnsi="宋体" w:eastAsia="宋体" w:cs="宋体"/>
          <w:spacing w:val="-10"/>
          <w:w w:val="95"/>
          <w:sz w:val="32"/>
          <w:szCs w:val="32"/>
        </w:rPr>
        <w:t>”</w:t>
      </w:r>
      <w:r>
        <w:rPr>
          <w:rFonts w:hint="eastAsia" w:ascii="宋体" w:hAnsi="宋体" w:eastAsia="宋体" w:cs="宋体"/>
          <w:spacing w:val="-16"/>
          <w:w w:val="95"/>
          <w:sz w:val="32"/>
          <w:szCs w:val="32"/>
        </w:rPr>
        <w:t>经费支出表</w:t>
      </w:r>
    </w:p>
    <w:p>
      <w:pPr>
        <w:pStyle w:val="10"/>
        <w:pageBreakBefore w:val="0"/>
        <w:kinsoku/>
        <w:wordWrap/>
        <w:overflowPunct/>
        <w:topLinePunct w:val="0"/>
        <w:bidi w:val="0"/>
        <w:spacing w:after="0" w:line="600" w:lineRule="exact"/>
        <w:rPr>
          <w:rFonts w:hint="eastAsia" w:ascii="宋体" w:hAnsi="宋体" w:eastAsia="宋体" w:cs="宋体"/>
          <w:sz w:val="32"/>
          <w:szCs w:val="32"/>
        </w:rPr>
      </w:pPr>
      <w:r>
        <w:rPr>
          <w:rFonts w:hint="eastAsia" w:ascii="宋体" w:hAnsi="宋体" w:eastAsia="宋体" w:cs="宋体"/>
          <w:spacing w:val="-16"/>
          <w:w w:val="95"/>
          <w:sz w:val="32"/>
          <w:szCs w:val="32"/>
        </w:rPr>
        <w:t>八、政府性基金预算支出表</w:t>
      </w:r>
    </w:p>
    <w:p>
      <w:pPr>
        <w:pStyle w:val="10"/>
        <w:pageBreakBefore w:val="0"/>
        <w:kinsoku/>
        <w:wordWrap/>
        <w:overflowPunct/>
        <w:topLinePunct w:val="0"/>
        <w:bidi w:val="0"/>
        <w:spacing w:after="0" w:line="600" w:lineRule="exact"/>
        <w:rPr>
          <w:rFonts w:hint="eastAsia" w:ascii="宋体" w:hAnsi="宋体" w:eastAsia="宋体" w:cs="宋体"/>
          <w:sz w:val="32"/>
          <w:szCs w:val="32"/>
        </w:rPr>
      </w:pPr>
      <w:r>
        <w:rPr>
          <w:rFonts w:hint="eastAsia" w:ascii="宋体" w:hAnsi="宋体" w:eastAsia="宋体" w:cs="宋体"/>
          <w:sz w:val="32"/>
          <w:szCs w:val="32"/>
        </w:rPr>
        <w:t>九、国有资本经营预算支出表</w:t>
      </w:r>
    </w:p>
    <w:p>
      <w:pPr>
        <w:pStyle w:val="10"/>
        <w:pageBreakBefore w:val="0"/>
        <w:kinsoku/>
        <w:wordWrap/>
        <w:overflowPunct/>
        <w:topLinePunct w:val="0"/>
        <w:bidi w:val="0"/>
        <w:spacing w:after="0" w:line="600" w:lineRule="exact"/>
        <w:rPr>
          <w:rFonts w:hint="eastAsia" w:ascii="宋体" w:hAnsi="宋体" w:eastAsia="宋体" w:cs="宋体"/>
          <w:sz w:val="32"/>
          <w:szCs w:val="32"/>
        </w:rPr>
      </w:pPr>
      <w:r>
        <w:rPr>
          <w:rFonts w:hint="eastAsia" w:ascii="宋体" w:hAnsi="宋体" w:eastAsia="宋体" w:cs="宋体"/>
          <w:sz w:val="32"/>
          <w:szCs w:val="32"/>
        </w:rPr>
        <w:t>十、项目支出表</w:t>
      </w:r>
    </w:p>
    <w:p>
      <w:pPr>
        <w:pStyle w:val="10"/>
        <w:pageBreakBefore w:val="0"/>
        <w:kinsoku/>
        <w:wordWrap/>
        <w:overflowPunct/>
        <w:topLinePunct w:val="0"/>
        <w:bidi w:val="0"/>
        <w:spacing w:after="0" w:line="600" w:lineRule="exact"/>
        <w:rPr>
          <w:rFonts w:hint="eastAsia" w:ascii="宋体" w:hAnsi="宋体" w:eastAsia="宋体" w:cs="宋体"/>
          <w:sz w:val="32"/>
          <w:szCs w:val="32"/>
        </w:rPr>
      </w:pPr>
      <w:r>
        <w:rPr>
          <w:rFonts w:hint="eastAsia" w:ascii="宋体" w:hAnsi="宋体" w:eastAsia="宋体" w:cs="宋体"/>
          <w:sz w:val="32"/>
          <w:szCs w:val="32"/>
        </w:rPr>
        <w:t>十一、项目绩效目标表</w:t>
      </w:r>
    </w:p>
    <w:p>
      <w:pPr>
        <w:pStyle w:val="10"/>
        <w:pageBreakBefore w:val="0"/>
        <w:kinsoku/>
        <w:wordWrap/>
        <w:overflowPunct/>
        <w:topLinePunct w:val="0"/>
        <w:bidi w:val="0"/>
        <w:spacing w:after="0" w:line="600" w:lineRule="exact"/>
        <w:rPr>
          <w:rFonts w:hint="eastAsia" w:ascii="宋体" w:hAnsi="宋体" w:eastAsia="宋体" w:cs="宋体"/>
          <w:sz w:val="32"/>
          <w:szCs w:val="32"/>
        </w:rPr>
      </w:pPr>
      <w:r>
        <w:rPr>
          <w:rFonts w:hint="eastAsia" w:ascii="宋体" w:hAnsi="宋体" w:eastAsia="宋体" w:cs="宋体"/>
          <w:w w:val="95"/>
          <w:sz w:val="32"/>
          <w:szCs w:val="32"/>
        </w:rPr>
        <w:t>十二、政府采购预算表</w:t>
      </w:r>
    </w:p>
    <w:p>
      <w:pPr>
        <w:pStyle w:val="2"/>
        <w:pageBreakBefore w:val="0"/>
        <w:kinsoku/>
        <w:wordWrap/>
        <w:overflowPunct/>
        <w:topLinePunct w:val="0"/>
        <w:bidi w:val="0"/>
        <w:spacing w:after="0" w:line="600" w:lineRule="exact"/>
        <w:rPr>
          <w:rFonts w:hint="eastAsia" w:ascii="宋体" w:hAnsi="宋体" w:eastAsia="宋体" w:cs="宋体"/>
        </w:rPr>
        <w:sectPr>
          <w:headerReference r:id="rId3" w:type="default"/>
          <w:footerReference r:id="rId4" w:type="default"/>
          <w:pgSz w:w="11910" w:h="16840"/>
          <w:pgMar w:top="1582" w:right="1680" w:bottom="278" w:left="1640" w:header="720" w:footer="720" w:gutter="0"/>
          <w:pgNumType w:fmt="numberInDash"/>
          <w:cols w:space="0" w:num="1"/>
        </w:sectPr>
      </w:pPr>
    </w:p>
    <w:p>
      <w:pPr>
        <w:pStyle w:val="7"/>
        <w:pageBreakBefore w:val="0"/>
        <w:tabs>
          <w:tab w:val="left" w:pos="4392"/>
        </w:tabs>
        <w:kinsoku/>
        <w:wordWrap/>
        <w:overflowPunct/>
        <w:topLinePunct w:val="0"/>
        <w:bidi w:val="0"/>
        <w:spacing w:before="0" w:after="0" w:line="600" w:lineRule="exact"/>
        <w:jc w:val="center"/>
        <w:rPr>
          <w:rFonts w:hint="eastAsia" w:ascii="宋体" w:hAnsi="宋体" w:eastAsia="宋体" w:cs="宋体"/>
          <w:b/>
          <w:bCs/>
          <w:sz w:val="36"/>
          <w:szCs w:val="36"/>
        </w:rPr>
      </w:pPr>
      <w:r>
        <w:rPr>
          <w:rFonts w:hint="eastAsia" w:ascii="宋体" w:hAnsi="宋体" w:eastAsia="宋体" w:cs="宋体"/>
          <w:b/>
          <w:bCs/>
          <w:sz w:val="36"/>
          <w:szCs w:val="36"/>
        </w:rPr>
        <w:t>第一部分</w:t>
      </w:r>
      <w:r>
        <w:rPr>
          <w:rFonts w:hint="eastAsia" w:ascii="宋体" w:hAnsi="宋体" w:eastAsia="宋体" w:cs="宋体"/>
          <w:b/>
          <w:bCs/>
          <w:sz w:val="36"/>
          <w:szCs w:val="36"/>
          <w:lang w:val="en-US" w:eastAsia="zh-CN"/>
        </w:rPr>
        <w:t>锡林郭勒盟社会福利院</w:t>
      </w:r>
      <w:r>
        <w:rPr>
          <w:rFonts w:hint="eastAsia" w:ascii="宋体" w:hAnsi="宋体" w:eastAsia="宋体" w:cs="宋体"/>
          <w:b/>
          <w:bCs/>
          <w:sz w:val="36"/>
          <w:szCs w:val="36"/>
        </w:rPr>
        <w:t>概况</w:t>
      </w:r>
    </w:p>
    <w:p>
      <w:pPr>
        <w:rPr>
          <w:rFonts w:hint="eastAsia"/>
        </w:rPr>
      </w:pPr>
    </w:p>
    <w:p>
      <w:pPr>
        <w:pageBreakBefore w:val="0"/>
        <w:numPr>
          <w:ilvl w:val="0"/>
          <w:numId w:val="2"/>
        </w:numPr>
        <w:kinsoku/>
        <w:wordWrap/>
        <w:overflowPunct/>
        <w:topLinePunct w:val="0"/>
        <w:bidi w:val="0"/>
        <w:spacing w:line="360" w:lineRule="auto"/>
        <w:ind w:left="17" w:leftChars="8" w:firstLine="626" w:firstLineChars="195"/>
        <w:outlineLvl w:val="0"/>
        <w:rPr>
          <w:rFonts w:hint="eastAsia" w:ascii="宋体" w:hAnsi="宋体" w:eastAsia="宋体" w:cs="宋体"/>
          <w:b/>
          <w:bCs/>
          <w:sz w:val="32"/>
          <w:szCs w:val="36"/>
        </w:rPr>
      </w:pPr>
      <w:r>
        <w:rPr>
          <w:rFonts w:hint="eastAsia" w:ascii="宋体" w:hAnsi="宋体" w:eastAsia="宋体" w:cs="宋体"/>
          <w:b/>
          <w:bCs/>
          <w:sz w:val="32"/>
          <w:szCs w:val="36"/>
        </w:rPr>
        <w:t>主要职能职责</w:t>
      </w:r>
    </w:p>
    <w:p>
      <w:pPr>
        <w:pStyle w:val="10"/>
        <w:pageBreakBefore w:val="0"/>
        <w:tabs>
          <w:tab w:val="left" w:pos="5840"/>
          <w:tab w:val="left" w:pos="7858"/>
          <w:tab w:val="left" w:pos="9328"/>
        </w:tabs>
        <w:kinsoku/>
        <w:wordWrap/>
        <w:overflowPunct/>
        <w:topLinePunct w:val="0"/>
        <w:bidi w:val="0"/>
        <w:spacing w:after="0" w:line="360" w:lineRule="auto"/>
        <w:ind w:firstLine="640" w:firstLineChars="200"/>
        <w:rPr>
          <w:rFonts w:hint="eastAsia" w:ascii="宋体" w:hAnsi="宋体" w:eastAsia="宋体" w:cs="宋体"/>
        </w:rPr>
      </w:pPr>
      <w:r>
        <w:rPr>
          <w:rFonts w:hint="eastAsia" w:ascii="宋体" w:hAnsi="宋体" w:eastAsia="宋体" w:cs="宋体"/>
          <w:sz w:val="32"/>
          <w:szCs w:val="32"/>
        </w:rPr>
        <w:t>锡林郭勒盟社会福利院是一所非营利性的公办公益一类社会福利</w:t>
      </w:r>
      <w:r>
        <w:rPr>
          <w:rFonts w:hint="eastAsia" w:ascii="宋体" w:hAnsi="宋体" w:eastAsia="宋体" w:cs="宋体"/>
          <w:sz w:val="32"/>
          <w:szCs w:val="32"/>
          <w:lang w:val="en-US" w:eastAsia="zh-CN"/>
        </w:rPr>
        <w:t>事业单位</w:t>
      </w:r>
      <w:r>
        <w:rPr>
          <w:rFonts w:hint="eastAsia" w:ascii="宋体" w:hAnsi="宋体" w:eastAsia="宋体" w:cs="宋体"/>
          <w:sz w:val="32"/>
          <w:szCs w:val="32"/>
        </w:rPr>
        <w:t>，面向全社会老年人提供养老服务，为集中供养的城乡特困人员（无劳动能力、无生活来源、无赡养人和抚养人确无赡养和抚养能力）、失能和半失能老人提供生活照护、医疗与康复、心理疏导；为低收入的高龄、独居、失独、失能等老年人提供供养、护理服务。</w:t>
      </w:r>
    </w:p>
    <w:p>
      <w:pPr>
        <w:pageBreakBefore w:val="0"/>
        <w:kinsoku/>
        <w:wordWrap/>
        <w:overflowPunct/>
        <w:topLinePunct w:val="0"/>
        <w:bidi w:val="0"/>
        <w:spacing w:line="360" w:lineRule="auto"/>
        <w:ind w:firstLine="643" w:firstLineChars="200"/>
        <w:outlineLvl w:val="0"/>
        <w:rPr>
          <w:rFonts w:hint="eastAsia" w:ascii="宋体" w:hAnsi="宋体" w:eastAsia="宋体" w:cs="宋体"/>
          <w:b/>
          <w:bCs/>
          <w:sz w:val="32"/>
          <w:szCs w:val="36"/>
        </w:rPr>
      </w:pPr>
      <w:r>
        <w:rPr>
          <w:rFonts w:hint="eastAsia" w:ascii="宋体" w:hAnsi="宋体" w:eastAsia="宋体" w:cs="宋体"/>
          <w:b/>
          <w:bCs/>
          <w:sz w:val="32"/>
          <w:szCs w:val="36"/>
        </w:rPr>
        <w:t>二、</w:t>
      </w:r>
      <w:r>
        <w:rPr>
          <w:rFonts w:hint="eastAsia" w:ascii="宋体" w:hAnsi="宋体" w:eastAsia="宋体" w:cs="宋体"/>
          <w:b/>
          <w:bCs/>
          <w:sz w:val="32"/>
          <w:szCs w:val="36"/>
          <w:lang w:val="en-US" w:eastAsia="zh-CN"/>
        </w:rPr>
        <w:t>单位</w:t>
      </w:r>
      <w:r>
        <w:rPr>
          <w:rFonts w:hint="eastAsia" w:ascii="宋体" w:hAnsi="宋体" w:eastAsia="宋体" w:cs="宋体"/>
          <w:b/>
          <w:bCs/>
          <w:sz w:val="32"/>
          <w:szCs w:val="36"/>
        </w:rPr>
        <w:t>机构设置及预算单位构成情况</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40" w:firstLineChars="200"/>
        <w:textAlignment w:val="auto"/>
        <w:rPr>
          <w:rFonts w:hint="eastAsia"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1.锡林郭勒盟社会福利院是部门预算编制单位1个，为公益一类财政补助事业单位，内设办公室、财务室、后勤服务部、护理部、医务部、餐饮部、文体娱乐部等，本部门无下属单位。至2024年底单位编制17人，在职16人，退休22人，遗属3人，汽车1辆。</w:t>
      </w:r>
    </w:p>
    <w:p>
      <w:pPr>
        <w:pStyle w:val="10"/>
        <w:keepNext w:val="0"/>
        <w:keepLines w:val="0"/>
        <w:pageBreakBefore w:val="0"/>
        <w:widowControl w:val="0"/>
        <w:kinsoku/>
        <w:wordWrap/>
        <w:overflowPunct/>
        <w:topLinePunct w:val="0"/>
        <w:autoSpaceDE/>
        <w:autoSpaceDN/>
        <w:bidi w:val="0"/>
        <w:adjustRightInd/>
        <w:snapToGrid/>
        <w:spacing w:line="360" w:lineRule="auto"/>
        <w:ind w:right="420" w:firstLine="640" w:firstLineChars="200"/>
        <w:textAlignment w:val="auto"/>
        <w:rPr>
          <w:rFonts w:hint="eastAsia"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2.从预算单位构成看，本单位2025年部门预算编制范围的预算单位共计1家，具体包括：锡林郭勒盟社会福利院，详细情况见表：</w:t>
      </w:r>
    </w:p>
    <w:tbl>
      <w:tblPr>
        <w:tblStyle w:val="20"/>
        <w:tblpPr w:leftFromText="180" w:rightFromText="180" w:vertAnchor="text" w:horzAnchor="page" w:tblpXSpec="center" w:tblpY="268"/>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34"/>
        <w:gridCol w:w="4017"/>
        <w:gridCol w:w="33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53" w:hRule="atLeast"/>
          <w:jc w:val="center"/>
        </w:trPr>
        <w:tc>
          <w:tcPr>
            <w:tcW w:w="1534" w:type="dxa"/>
          </w:tcPr>
          <w:p>
            <w:pPr>
              <w:pStyle w:val="10"/>
              <w:spacing w:line="360" w:lineRule="auto"/>
              <w:ind w:right="42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序号</w:t>
            </w:r>
          </w:p>
        </w:tc>
        <w:tc>
          <w:tcPr>
            <w:tcW w:w="4017" w:type="dxa"/>
          </w:tcPr>
          <w:p>
            <w:pPr>
              <w:pStyle w:val="10"/>
              <w:spacing w:line="360" w:lineRule="auto"/>
              <w:ind w:right="42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单位名称</w:t>
            </w:r>
          </w:p>
        </w:tc>
        <w:tc>
          <w:tcPr>
            <w:tcW w:w="3348" w:type="dxa"/>
          </w:tcPr>
          <w:p>
            <w:pPr>
              <w:pStyle w:val="10"/>
              <w:spacing w:line="360" w:lineRule="auto"/>
              <w:ind w:right="42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单位性质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1534" w:type="dxa"/>
          </w:tcPr>
          <w:p>
            <w:pPr>
              <w:pStyle w:val="10"/>
              <w:spacing w:line="360" w:lineRule="auto"/>
              <w:ind w:right="420"/>
              <w:jc w:val="center"/>
              <w:rPr>
                <w:rFonts w:hint="eastAsia" w:ascii="宋体" w:hAnsi="宋体" w:eastAsia="宋体" w:cs="宋体"/>
                <w:sz w:val="40"/>
                <w:szCs w:val="40"/>
                <w:vertAlign w:val="baseline"/>
                <w:lang w:val="en-US" w:eastAsia="zh-CN"/>
              </w:rPr>
            </w:pPr>
            <w:r>
              <w:rPr>
                <w:rFonts w:hint="eastAsia" w:ascii="宋体" w:hAnsi="宋体" w:eastAsia="宋体" w:cs="宋体"/>
                <w:sz w:val="28"/>
                <w:szCs w:val="28"/>
                <w:vertAlign w:val="baseline"/>
                <w:lang w:val="en-US" w:eastAsia="zh-CN"/>
              </w:rPr>
              <w:t>1</w:t>
            </w:r>
          </w:p>
        </w:tc>
        <w:tc>
          <w:tcPr>
            <w:tcW w:w="4017" w:type="dxa"/>
          </w:tcPr>
          <w:p>
            <w:pPr>
              <w:pStyle w:val="10"/>
              <w:spacing w:line="360" w:lineRule="auto"/>
              <w:ind w:right="420"/>
              <w:jc w:val="center"/>
              <w:rPr>
                <w:rFonts w:hint="eastAsia" w:ascii="宋体" w:hAnsi="宋体" w:eastAsia="宋体" w:cs="宋体"/>
                <w:sz w:val="36"/>
                <w:szCs w:val="36"/>
                <w:vertAlign w:val="baseline"/>
                <w:lang w:val="en-US" w:eastAsia="zh-CN"/>
              </w:rPr>
            </w:pPr>
            <w:r>
              <w:rPr>
                <w:rFonts w:hint="eastAsia" w:ascii="宋体" w:hAnsi="宋体" w:eastAsia="宋体" w:cs="宋体"/>
                <w:sz w:val="24"/>
                <w:szCs w:val="24"/>
                <w:vertAlign w:val="baseline"/>
                <w:lang w:val="en-US" w:eastAsia="zh-CN"/>
              </w:rPr>
              <w:t>锡林郭勒盟社会福利院</w:t>
            </w:r>
          </w:p>
        </w:tc>
        <w:tc>
          <w:tcPr>
            <w:tcW w:w="3348" w:type="dxa"/>
          </w:tcPr>
          <w:p>
            <w:pPr>
              <w:pStyle w:val="10"/>
              <w:spacing w:line="360" w:lineRule="auto"/>
              <w:ind w:right="420"/>
              <w:jc w:val="center"/>
              <w:rPr>
                <w:rFonts w:hint="eastAsia" w:ascii="宋体" w:hAnsi="宋体" w:eastAsia="宋体" w:cs="宋体"/>
                <w:sz w:val="36"/>
                <w:szCs w:val="36"/>
                <w:vertAlign w:val="baseline"/>
                <w:lang w:val="en-US" w:eastAsia="zh-CN"/>
              </w:rPr>
            </w:pPr>
            <w:r>
              <w:rPr>
                <w:rFonts w:hint="eastAsia" w:ascii="宋体" w:hAnsi="宋体" w:eastAsia="宋体" w:cs="宋体"/>
                <w:sz w:val="24"/>
                <w:szCs w:val="24"/>
                <w:vertAlign w:val="baseline"/>
                <w:lang w:val="en-US" w:eastAsia="zh-CN"/>
              </w:rPr>
              <w:t>公益一类事业单位</w:t>
            </w:r>
          </w:p>
        </w:tc>
      </w:tr>
    </w:tbl>
    <w:p>
      <w:pPr>
        <w:pStyle w:val="10"/>
        <w:spacing w:line="360" w:lineRule="auto"/>
        <w:ind w:right="420"/>
        <w:rPr>
          <w:rFonts w:hint="eastAsia" w:ascii="宋体" w:hAnsi="宋体" w:eastAsia="宋体" w:cs="宋体"/>
        </w:rPr>
      </w:pPr>
    </w:p>
    <w:p>
      <w:pPr>
        <w:pageBreakBefore w:val="0"/>
        <w:kinsoku/>
        <w:wordWrap/>
        <w:overflowPunct/>
        <w:topLinePunct w:val="0"/>
        <w:bidi w:val="0"/>
        <w:spacing w:line="360" w:lineRule="auto"/>
        <w:ind w:firstLine="643" w:firstLineChars="200"/>
        <w:rPr>
          <w:rFonts w:hint="eastAsia" w:ascii="宋体" w:hAnsi="宋体" w:eastAsia="宋体" w:cs="宋体"/>
          <w:b/>
          <w:bCs/>
          <w:sz w:val="32"/>
          <w:szCs w:val="36"/>
        </w:rPr>
      </w:pPr>
      <w:r>
        <w:rPr>
          <w:rFonts w:hint="eastAsia" w:ascii="宋体" w:hAnsi="宋体" w:eastAsia="宋体" w:cs="宋体"/>
          <w:b/>
          <w:bCs/>
          <w:sz w:val="32"/>
          <w:szCs w:val="36"/>
        </w:rPr>
        <w:t>三、</w:t>
      </w:r>
      <w:r>
        <w:rPr>
          <w:rFonts w:hint="eastAsia" w:ascii="宋体" w:hAnsi="宋体" w:eastAsia="宋体" w:cs="宋体"/>
          <w:b/>
          <w:bCs/>
          <w:sz w:val="32"/>
          <w:szCs w:val="36"/>
          <w:lang w:val="en-US" w:eastAsia="zh-CN"/>
        </w:rPr>
        <w:t>2025</w:t>
      </w:r>
      <w:r>
        <w:rPr>
          <w:rFonts w:hint="eastAsia" w:ascii="宋体" w:hAnsi="宋体" w:eastAsia="宋体" w:cs="宋体"/>
          <w:b/>
          <w:bCs/>
          <w:sz w:val="32"/>
          <w:szCs w:val="36"/>
        </w:rPr>
        <w:t>年</w:t>
      </w:r>
      <w:r>
        <w:rPr>
          <w:rFonts w:hint="eastAsia" w:ascii="宋体" w:hAnsi="宋体" w:eastAsia="宋体" w:cs="宋体"/>
          <w:b/>
          <w:bCs/>
          <w:sz w:val="32"/>
          <w:szCs w:val="36"/>
          <w:lang w:val="en-US" w:eastAsia="zh-CN"/>
        </w:rPr>
        <w:t>锡林郭勒盟社会福利院</w:t>
      </w:r>
      <w:r>
        <w:rPr>
          <w:rFonts w:hint="eastAsia" w:ascii="宋体" w:hAnsi="宋体" w:eastAsia="宋体" w:cs="宋体"/>
          <w:b/>
          <w:bCs/>
          <w:sz w:val="32"/>
          <w:szCs w:val="36"/>
        </w:rPr>
        <w:t>主要工作任务及目标</w:t>
      </w:r>
    </w:p>
    <w:p>
      <w:pPr>
        <w:keepNext w:val="0"/>
        <w:keepLines w:val="0"/>
        <w:pageBreakBefore w:val="0"/>
        <w:widowControl w:val="0"/>
        <w:numPr>
          <w:ilvl w:val="0"/>
          <w:numId w:val="0"/>
        </w:numPr>
        <w:kinsoku/>
        <w:wordWrap/>
        <w:overflowPunct/>
        <w:topLinePunct w:val="0"/>
        <w:autoSpaceDE/>
        <w:autoSpaceDN/>
        <w:bidi w:val="0"/>
        <w:adjustRightInd/>
        <w:snapToGrid/>
        <w:spacing w:line="592" w:lineRule="exact"/>
        <w:ind w:firstLine="640" w:firstLineChars="200"/>
        <w:jc w:val="both"/>
        <w:textAlignment w:val="auto"/>
        <w:rPr>
          <w:rFonts w:hint="eastAsia" w:ascii="宋体" w:hAnsi="宋体" w:eastAsia="宋体" w:cs="宋体"/>
          <w:sz w:val="32"/>
          <w:szCs w:val="32"/>
          <w:lang w:eastAsia="zh-CN"/>
        </w:rPr>
      </w:pPr>
      <w:r>
        <w:rPr>
          <w:rFonts w:hint="eastAsia" w:ascii="宋体" w:hAnsi="宋体" w:eastAsia="宋体" w:cs="宋体"/>
          <w:b w:val="0"/>
          <w:bCs w:val="0"/>
          <w:sz w:val="32"/>
          <w:szCs w:val="32"/>
          <w:lang w:eastAsia="zh-CN"/>
        </w:rPr>
        <w:t>一是</w:t>
      </w:r>
      <w:r>
        <w:rPr>
          <w:rFonts w:hint="eastAsia" w:ascii="宋体" w:hAnsi="宋体" w:eastAsia="宋体" w:cs="宋体"/>
          <w:b w:val="0"/>
          <w:bCs w:val="0"/>
          <w:sz w:val="32"/>
          <w:szCs w:val="32"/>
        </w:rPr>
        <w:t>加强</w:t>
      </w:r>
      <w:r>
        <w:rPr>
          <w:rFonts w:hint="eastAsia" w:ascii="宋体" w:hAnsi="宋体" w:eastAsia="宋体" w:cs="宋体"/>
          <w:b w:val="0"/>
          <w:bCs w:val="0"/>
          <w:sz w:val="32"/>
          <w:szCs w:val="32"/>
          <w:lang w:eastAsia="zh-CN"/>
        </w:rPr>
        <w:t>护理人员</w:t>
      </w:r>
      <w:r>
        <w:rPr>
          <w:rFonts w:hint="eastAsia" w:ascii="宋体" w:hAnsi="宋体" w:eastAsia="宋体" w:cs="宋体"/>
          <w:b w:val="0"/>
          <w:bCs w:val="0"/>
          <w:sz w:val="32"/>
          <w:szCs w:val="32"/>
        </w:rPr>
        <w:t>队伍建设，</w:t>
      </w:r>
      <w:r>
        <w:rPr>
          <w:rFonts w:hint="eastAsia" w:ascii="宋体" w:hAnsi="宋体" w:eastAsia="宋体" w:cs="宋体"/>
          <w:b w:val="0"/>
          <w:bCs w:val="0"/>
          <w:sz w:val="32"/>
          <w:szCs w:val="32"/>
          <w:lang w:eastAsia="zh-CN"/>
        </w:rPr>
        <w:t>提高薪资待遇。</w:t>
      </w:r>
      <w:r>
        <w:rPr>
          <w:rFonts w:hint="eastAsia" w:ascii="宋体" w:hAnsi="宋体" w:eastAsia="宋体" w:cs="宋体"/>
          <w:sz w:val="32"/>
          <w:szCs w:val="32"/>
        </w:rPr>
        <w:t>提高</w:t>
      </w:r>
      <w:r>
        <w:rPr>
          <w:rFonts w:hint="eastAsia" w:ascii="宋体" w:hAnsi="宋体" w:eastAsia="宋体" w:cs="宋体"/>
          <w:sz w:val="32"/>
          <w:szCs w:val="32"/>
          <w:lang w:eastAsia="zh-CN"/>
        </w:rPr>
        <w:t>护理队伍</w:t>
      </w:r>
      <w:r>
        <w:rPr>
          <w:rFonts w:hint="eastAsia" w:ascii="宋体" w:hAnsi="宋体" w:eastAsia="宋体" w:cs="宋体"/>
          <w:sz w:val="32"/>
          <w:szCs w:val="32"/>
        </w:rPr>
        <w:t>业务素质</w:t>
      </w:r>
      <w:r>
        <w:rPr>
          <w:rFonts w:hint="eastAsia" w:ascii="宋体" w:hAnsi="宋体" w:eastAsia="宋体" w:cs="宋体"/>
          <w:sz w:val="32"/>
          <w:szCs w:val="32"/>
          <w:lang w:eastAsia="zh-CN"/>
        </w:rPr>
        <w:t>，</w:t>
      </w:r>
      <w:r>
        <w:rPr>
          <w:rFonts w:hint="eastAsia" w:ascii="宋体" w:hAnsi="宋体" w:eastAsia="宋体" w:cs="宋体"/>
          <w:sz w:val="32"/>
          <w:szCs w:val="32"/>
        </w:rPr>
        <w:t>我盟失能、半失能老人日益增加，</w:t>
      </w:r>
      <w:r>
        <w:rPr>
          <w:rFonts w:hint="eastAsia" w:ascii="宋体" w:hAnsi="宋体" w:eastAsia="宋体" w:cs="宋体"/>
          <w:sz w:val="32"/>
          <w:szCs w:val="32"/>
          <w:lang w:val="en-US" w:eastAsia="zh-CN"/>
        </w:rPr>
        <w:t>需持续</w:t>
      </w:r>
      <w:r>
        <w:rPr>
          <w:rFonts w:hint="eastAsia" w:ascii="宋体" w:hAnsi="宋体" w:eastAsia="宋体" w:cs="宋体"/>
          <w:sz w:val="32"/>
          <w:szCs w:val="32"/>
        </w:rPr>
        <w:t>提高</w:t>
      </w:r>
      <w:r>
        <w:rPr>
          <w:rFonts w:hint="eastAsia" w:ascii="宋体" w:hAnsi="宋体" w:eastAsia="宋体" w:cs="宋体"/>
          <w:sz w:val="32"/>
          <w:szCs w:val="32"/>
          <w:lang w:eastAsia="zh-CN"/>
        </w:rPr>
        <w:t>护理人员</w:t>
      </w:r>
      <w:r>
        <w:rPr>
          <w:rFonts w:hint="eastAsia" w:ascii="宋体" w:hAnsi="宋体" w:eastAsia="宋体" w:cs="宋体"/>
          <w:sz w:val="32"/>
          <w:szCs w:val="32"/>
        </w:rPr>
        <w:t>业务素质，提供</w:t>
      </w:r>
      <w:r>
        <w:rPr>
          <w:rFonts w:hint="eastAsia" w:ascii="宋体" w:hAnsi="宋体" w:eastAsia="宋体" w:cs="宋体"/>
          <w:sz w:val="32"/>
          <w:szCs w:val="32"/>
          <w:lang w:eastAsia="zh-CN"/>
        </w:rPr>
        <w:t>“个性化”护理方案，</w:t>
      </w:r>
      <w:r>
        <w:rPr>
          <w:rFonts w:hint="eastAsia" w:ascii="宋体" w:hAnsi="宋体" w:eastAsia="宋体" w:cs="宋体"/>
          <w:sz w:val="32"/>
          <w:szCs w:val="32"/>
        </w:rPr>
        <w:t>充分开展分级护理项目。</w:t>
      </w:r>
      <w:r>
        <w:rPr>
          <w:rFonts w:hint="eastAsia" w:ascii="宋体" w:hAnsi="宋体" w:eastAsia="宋体" w:cs="宋体"/>
          <w:sz w:val="32"/>
          <w:szCs w:val="32"/>
          <w:lang w:eastAsia="zh-CN"/>
        </w:rPr>
        <w:t>其次是调整护理人员薪资结构，完善绩效制度，根据服务对象护理难度、数量、满意度来综合考评，提高护理人员薪资待遇，调动护理岗人员工作积极性。</w:t>
      </w:r>
    </w:p>
    <w:p>
      <w:pPr>
        <w:keepNext w:val="0"/>
        <w:keepLines w:val="0"/>
        <w:pageBreakBefore w:val="0"/>
        <w:widowControl w:val="0"/>
        <w:numPr>
          <w:ilvl w:val="0"/>
          <w:numId w:val="0"/>
        </w:numPr>
        <w:kinsoku/>
        <w:wordWrap/>
        <w:overflowPunct/>
        <w:topLinePunct w:val="0"/>
        <w:autoSpaceDE/>
        <w:autoSpaceDN/>
        <w:bidi w:val="0"/>
        <w:adjustRightInd/>
        <w:snapToGrid/>
        <w:spacing w:line="592" w:lineRule="exact"/>
        <w:ind w:firstLine="640" w:firstLineChars="200"/>
        <w:jc w:val="both"/>
        <w:textAlignment w:val="auto"/>
        <w:rPr>
          <w:rFonts w:hint="eastAsia" w:ascii="宋体" w:hAnsi="宋体" w:eastAsia="宋体" w:cs="宋体"/>
          <w:sz w:val="32"/>
          <w:szCs w:val="32"/>
          <w:lang w:eastAsia="zh-CN"/>
        </w:rPr>
      </w:pPr>
      <w:r>
        <w:rPr>
          <w:rFonts w:hint="eastAsia" w:ascii="宋体" w:hAnsi="宋体" w:eastAsia="宋体" w:cs="宋体"/>
          <w:b w:val="0"/>
          <w:bCs w:val="0"/>
          <w:sz w:val="32"/>
          <w:szCs w:val="32"/>
          <w:lang w:eastAsia="zh-CN"/>
        </w:rPr>
        <w:t>二是</w:t>
      </w:r>
      <w:r>
        <w:rPr>
          <w:rFonts w:hint="eastAsia" w:ascii="宋体" w:hAnsi="宋体" w:eastAsia="宋体" w:cs="宋体"/>
          <w:b w:val="0"/>
          <w:bCs w:val="0"/>
          <w:sz w:val="32"/>
          <w:szCs w:val="32"/>
          <w:lang w:val="en-US" w:eastAsia="zh-CN"/>
        </w:rPr>
        <w:t>加大宣传力度，扩大社会知晓率。</w:t>
      </w:r>
      <w:r>
        <w:rPr>
          <w:rFonts w:hint="eastAsia" w:ascii="宋体" w:hAnsi="宋体" w:eastAsia="宋体" w:cs="宋体"/>
          <w:sz w:val="32"/>
          <w:szCs w:val="32"/>
          <w:lang w:val="en-US" w:eastAsia="zh-CN"/>
        </w:rPr>
        <w:t>为</w:t>
      </w:r>
      <w:r>
        <w:rPr>
          <w:rFonts w:hint="eastAsia" w:ascii="宋体" w:hAnsi="宋体" w:eastAsia="宋体" w:cs="宋体"/>
          <w:sz w:val="32"/>
          <w:szCs w:val="32"/>
        </w:rPr>
        <w:t>60岁以上的老人</w:t>
      </w:r>
      <w:r>
        <w:rPr>
          <w:rFonts w:hint="eastAsia" w:ascii="宋体" w:hAnsi="宋体" w:eastAsia="宋体" w:cs="宋体"/>
          <w:sz w:val="32"/>
          <w:szCs w:val="32"/>
          <w:lang w:val="en-US" w:eastAsia="zh-CN"/>
        </w:rPr>
        <w:t>服务</w:t>
      </w:r>
      <w:r>
        <w:rPr>
          <w:rFonts w:hint="eastAsia" w:ascii="宋体" w:hAnsi="宋体" w:eastAsia="宋体" w:cs="宋体"/>
          <w:sz w:val="32"/>
          <w:szCs w:val="32"/>
        </w:rPr>
        <w:t>。积极发挥福利院的“保基本、兜底线”的服务功能，争取新增“</w:t>
      </w:r>
      <w:r>
        <w:rPr>
          <w:rFonts w:hint="eastAsia" w:ascii="宋体" w:hAnsi="宋体" w:eastAsia="宋体" w:cs="宋体"/>
          <w:sz w:val="32"/>
          <w:szCs w:val="32"/>
          <w:lang w:val="en-US" w:eastAsia="zh-CN"/>
        </w:rPr>
        <w:t>特困供养对象</w:t>
      </w:r>
      <w:r>
        <w:rPr>
          <w:rFonts w:hint="eastAsia" w:ascii="宋体" w:hAnsi="宋体" w:eastAsia="宋体" w:cs="宋体"/>
          <w:sz w:val="32"/>
          <w:szCs w:val="32"/>
        </w:rPr>
        <w:t>”对象，对低收入、高龄困难老人进行适当优惠</w:t>
      </w:r>
      <w:r>
        <w:rPr>
          <w:rFonts w:hint="eastAsia" w:ascii="宋体" w:hAnsi="宋体" w:eastAsia="宋体" w:cs="宋体"/>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92" w:lineRule="exact"/>
        <w:ind w:firstLine="640" w:firstLineChars="200"/>
        <w:jc w:val="both"/>
        <w:textAlignment w:val="auto"/>
        <w:rPr>
          <w:rFonts w:hint="eastAsia" w:ascii="宋体" w:hAnsi="宋体" w:eastAsia="宋体" w:cs="宋体"/>
          <w:sz w:val="32"/>
          <w:szCs w:val="32"/>
          <w:lang w:eastAsia="zh-CN"/>
        </w:rPr>
      </w:pPr>
      <w:r>
        <w:rPr>
          <w:rFonts w:hint="eastAsia" w:ascii="宋体" w:hAnsi="宋体" w:eastAsia="宋体" w:cs="宋体"/>
          <w:b w:val="0"/>
          <w:bCs w:val="0"/>
          <w:i w:val="0"/>
          <w:iCs w:val="0"/>
          <w:sz w:val="32"/>
          <w:szCs w:val="32"/>
          <w:lang w:val="en-US" w:eastAsia="zh-CN"/>
        </w:rPr>
        <w:t>三是构建多层次、多元化综合养老服务体系，积极探索医养、康养相结合模式。</w:t>
      </w:r>
      <w:r>
        <w:rPr>
          <w:rFonts w:hint="eastAsia" w:ascii="宋体" w:hAnsi="宋体" w:eastAsia="宋体" w:cs="宋体"/>
          <w:b w:val="0"/>
          <w:bCs w:val="0"/>
          <w:sz w:val="32"/>
          <w:szCs w:val="32"/>
          <w:lang w:val="en-US" w:eastAsia="zh-CN"/>
        </w:rPr>
        <w:t>应对人口老龄化，满足老年人就医和养老的双重需求，根据老年人个人健康档案制定个性化服务方案全方位满足老年人健康需求，积极探索医养康养相结合的旅居养老新模式，利用院内现有资源，合理安排孟克</w:t>
      </w:r>
      <w:r>
        <w:rPr>
          <w:rFonts w:hint="eastAsia" w:ascii="宋体" w:hAnsi="宋体" w:eastAsia="宋体" w:cs="宋体"/>
          <w:sz w:val="32"/>
          <w:szCs w:val="32"/>
          <w:lang w:eastAsia="zh-CN"/>
        </w:rPr>
        <w:t>公益健康讲座课程，普及健康知识，为老年人身体健康保驾护航。</w:t>
      </w:r>
    </w:p>
    <w:p>
      <w:pPr>
        <w:keepNext w:val="0"/>
        <w:keepLines w:val="0"/>
        <w:pageBreakBefore w:val="0"/>
        <w:widowControl w:val="0"/>
        <w:numPr>
          <w:ilvl w:val="0"/>
          <w:numId w:val="0"/>
        </w:numPr>
        <w:kinsoku/>
        <w:wordWrap/>
        <w:overflowPunct/>
        <w:topLinePunct w:val="0"/>
        <w:autoSpaceDE/>
        <w:autoSpaceDN/>
        <w:bidi w:val="0"/>
        <w:adjustRightInd/>
        <w:snapToGrid/>
        <w:spacing w:line="592" w:lineRule="exact"/>
        <w:ind w:firstLine="640" w:firstLineChars="200"/>
        <w:jc w:val="both"/>
        <w:textAlignment w:val="auto"/>
        <w:rPr>
          <w:rFonts w:hint="eastAsia" w:ascii="宋体" w:hAnsi="宋体" w:eastAsia="宋体" w:cs="宋体"/>
          <w:sz w:val="32"/>
          <w:szCs w:val="32"/>
          <w:lang w:val="en-US" w:eastAsia="zh-CN"/>
        </w:rPr>
      </w:pPr>
      <w:r>
        <w:rPr>
          <w:rFonts w:hint="eastAsia" w:ascii="宋体" w:hAnsi="宋体" w:eastAsia="宋体" w:cs="宋体"/>
          <w:b w:val="0"/>
          <w:bCs w:val="0"/>
          <w:i w:val="0"/>
          <w:iCs w:val="0"/>
          <w:sz w:val="32"/>
          <w:szCs w:val="32"/>
          <w:lang w:val="en-US" w:eastAsia="zh-CN"/>
        </w:rPr>
        <w:t>四是提升机构旅居康养项目承接能力，充分发挥机构普惠性康养优势</w:t>
      </w:r>
      <w:r>
        <w:rPr>
          <w:rFonts w:hint="eastAsia" w:ascii="宋体" w:hAnsi="宋体" w:eastAsia="宋体" w:cs="宋体"/>
          <w:b/>
          <w:bCs/>
          <w:i w:val="0"/>
          <w:iCs w:val="0"/>
          <w:sz w:val="32"/>
          <w:szCs w:val="32"/>
          <w:lang w:val="en-US" w:eastAsia="zh-CN"/>
        </w:rPr>
        <w:t>。</w:t>
      </w:r>
      <w:r>
        <w:rPr>
          <w:rFonts w:hint="eastAsia" w:ascii="宋体" w:hAnsi="宋体" w:eastAsia="宋体" w:cs="宋体"/>
          <w:sz w:val="32"/>
          <w:szCs w:val="32"/>
          <w:lang w:val="en-US" w:eastAsia="zh-CN"/>
        </w:rPr>
        <w:t>继续加大合作对接力度，以完成</w:t>
      </w:r>
      <w:r>
        <w:rPr>
          <w:rFonts w:hint="eastAsia" w:ascii="宋体" w:hAnsi="宋体" w:eastAsia="宋体" w:cs="宋体"/>
          <w:sz w:val="32"/>
          <w:szCs w:val="32"/>
        </w:rPr>
        <w:t>全盟</w:t>
      </w:r>
      <w:r>
        <w:rPr>
          <w:rFonts w:hint="eastAsia" w:ascii="宋体" w:hAnsi="宋体" w:eastAsia="宋体" w:cs="宋体"/>
          <w:sz w:val="32"/>
          <w:szCs w:val="32"/>
          <w:lang w:eastAsia="zh-CN"/>
        </w:rPr>
        <w:t>首批</w:t>
      </w:r>
      <w:r>
        <w:rPr>
          <w:rFonts w:hint="eastAsia" w:ascii="宋体" w:hAnsi="宋体" w:eastAsia="宋体" w:cs="宋体"/>
          <w:sz w:val="32"/>
          <w:szCs w:val="32"/>
        </w:rPr>
        <w:t>对京旅居康养</w:t>
      </w:r>
      <w:r>
        <w:rPr>
          <w:rFonts w:hint="eastAsia" w:ascii="宋体" w:hAnsi="宋体" w:eastAsia="宋体" w:cs="宋体"/>
          <w:sz w:val="32"/>
          <w:szCs w:val="32"/>
          <w:lang w:eastAsia="zh-CN"/>
        </w:rPr>
        <w:t>服务</w:t>
      </w:r>
      <w:r>
        <w:rPr>
          <w:rFonts w:hint="eastAsia" w:ascii="宋体" w:hAnsi="宋体" w:eastAsia="宋体" w:cs="宋体"/>
          <w:b w:val="0"/>
          <w:bCs w:val="0"/>
          <w:sz w:val="32"/>
          <w:szCs w:val="32"/>
          <w:highlight w:val="none"/>
          <w:lang w:val="en-US" w:eastAsia="zh-CN"/>
        </w:rPr>
        <w:t>为契机，</w:t>
      </w:r>
      <w:r>
        <w:rPr>
          <w:rFonts w:hint="eastAsia" w:ascii="宋体" w:hAnsi="宋体" w:eastAsia="宋体" w:cs="宋体"/>
          <w:sz w:val="32"/>
          <w:szCs w:val="32"/>
          <w:lang w:val="en-US" w:eastAsia="zh-CN"/>
        </w:rPr>
        <w:t xml:space="preserve">积极推介资源及特色项目，着力打造养老机构品牌建设，提升养老机构吸引力，深化京津冀蒙养老服务协同发展，满足多元化养老服务需求，推动“冬南夏北”旅居养老机构联盟战略合作落地见效。 </w:t>
      </w:r>
    </w:p>
    <w:p>
      <w:pPr>
        <w:keepNext w:val="0"/>
        <w:keepLines w:val="0"/>
        <w:pageBreakBefore w:val="0"/>
        <w:widowControl w:val="0"/>
        <w:numPr>
          <w:ilvl w:val="0"/>
          <w:numId w:val="0"/>
        </w:numPr>
        <w:kinsoku/>
        <w:wordWrap/>
        <w:overflowPunct/>
        <w:topLinePunct w:val="0"/>
        <w:autoSpaceDE/>
        <w:autoSpaceDN/>
        <w:bidi w:val="0"/>
        <w:adjustRightInd/>
        <w:snapToGrid/>
        <w:spacing w:line="592" w:lineRule="exact"/>
        <w:ind w:firstLine="640" w:firstLineChars="200"/>
        <w:jc w:val="both"/>
        <w:textAlignment w:val="auto"/>
        <w:rPr>
          <w:rFonts w:hint="eastAsia" w:ascii="宋体" w:hAnsi="宋体" w:eastAsia="宋体" w:cs="宋体"/>
          <w:color w:val="000000"/>
          <w:sz w:val="32"/>
          <w:szCs w:val="32"/>
          <w:lang w:val="en-US" w:eastAsia="zh-CN"/>
        </w:rPr>
      </w:pPr>
      <w:r>
        <w:rPr>
          <w:rFonts w:hint="eastAsia" w:ascii="宋体" w:hAnsi="宋体" w:eastAsia="宋体" w:cs="宋体"/>
          <w:b w:val="0"/>
          <w:bCs w:val="0"/>
          <w:sz w:val="32"/>
          <w:szCs w:val="32"/>
          <w:lang w:val="en-US" w:eastAsia="zh-CN"/>
        </w:rPr>
        <w:t>五是发挥实训基地主体优势。</w:t>
      </w:r>
      <w:r>
        <w:rPr>
          <w:rFonts w:hint="eastAsia" w:ascii="宋体" w:hAnsi="宋体" w:eastAsia="宋体" w:cs="宋体"/>
          <w:b w:val="0"/>
          <w:bCs w:val="0"/>
          <w:color w:val="000000"/>
          <w:sz w:val="32"/>
          <w:szCs w:val="32"/>
          <w:lang w:val="en-US" w:eastAsia="zh-CN"/>
        </w:rPr>
        <w:t>2023年1月我院</w:t>
      </w:r>
      <w:r>
        <w:rPr>
          <w:rFonts w:hint="eastAsia" w:ascii="宋体" w:hAnsi="宋体" w:eastAsia="宋体" w:cs="宋体"/>
          <w:b w:val="0"/>
          <w:bCs w:val="0"/>
          <w:color w:val="000000"/>
          <w:sz w:val="32"/>
          <w:szCs w:val="32"/>
          <w:lang w:eastAsia="zh-CN"/>
        </w:rPr>
        <w:t>被内蒙古自治区民政厅确定为全区第一批养老护理员培训基地，</w:t>
      </w:r>
      <w:r>
        <w:rPr>
          <w:rFonts w:hint="eastAsia" w:ascii="宋体" w:hAnsi="宋体" w:eastAsia="宋体" w:cs="宋体"/>
          <w:b w:val="0"/>
          <w:bCs w:val="0"/>
          <w:color w:val="000000"/>
          <w:sz w:val="32"/>
          <w:szCs w:val="32"/>
          <w:lang w:val="en-US" w:eastAsia="zh-CN"/>
        </w:rPr>
        <w:t>利用现有的1200平米场地、电子教室等资源，</w:t>
      </w:r>
      <w:r>
        <w:rPr>
          <w:rFonts w:hint="eastAsia" w:ascii="宋体" w:hAnsi="宋体" w:eastAsia="宋体" w:cs="宋体"/>
          <w:b w:val="0"/>
          <w:bCs w:val="0"/>
          <w:color w:val="000000"/>
          <w:sz w:val="32"/>
          <w:szCs w:val="32"/>
          <w:lang w:eastAsia="zh-CN"/>
        </w:rPr>
        <w:t>用于多人教学和医护实操教学。</w:t>
      </w:r>
      <w:r>
        <w:rPr>
          <w:rFonts w:hint="eastAsia" w:ascii="宋体" w:hAnsi="宋体" w:eastAsia="宋体" w:cs="宋体"/>
          <w:b w:val="0"/>
          <w:bCs w:val="0"/>
          <w:color w:val="000000"/>
          <w:sz w:val="32"/>
          <w:szCs w:val="32"/>
          <w:lang w:val="en-US" w:eastAsia="zh-CN"/>
        </w:rPr>
        <w:t>积极与锡林郭勒职业学院等建立协作关系，邀请专业讲师定期指导培训，</w:t>
      </w:r>
      <w:r>
        <w:rPr>
          <w:rFonts w:hint="eastAsia" w:ascii="宋体" w:hAnsi="宋体" w:eastAsia="宋体" w:cs="宋体"/>
          <w:color w:val="000000"/>
          <w:sz w:val="32"/>
          <w:szCs w:val="32"/>
          <w:lang w:val="en-US" w:eastAsia="zh-CN"/>
        </w:rPr>
        <w:t>为持续输出高质量、高素质、高标准的养老护理人员提供有力的工作环境，为养老护理服务行业的人才培养尽一己之力。</w:t>
      </w:r>
    </w:p>
    <w:p>
      <w:pPr>
        <w:pStyle w:val="2"/>
        <w:rPr>
          <w:rFonts w:hint="eastAsia" w:ascii="宋体" w:hAnsi="宋体" w:eastAsia="宋体" w:cs="宋体"/>
          <w:sz w:val="32"/>
          <w:szCs w:val="32"/>
        </w:rPr>
      </w:pPr>
    </w:p>
    <w:p>
      <w:pPr>
        <w:pStyle w:val="7"/>
        <w:pageBreakBefore w:val="0"/>
        <w:tabs>
          <w:tab w:val="left" w:pos="4392"/>
        </w:tabs>
        <w:kinsoku/>
        <w:wordWrap/>
        <w:overflowPunct/>
        <w:topLinePunct w:val="0"/>
        <w:bidi w:val="0"/>
        <w:spacing w:before="0" w:after="0" w:line="360" w:lineRule="auto"/>
        <w:jc w:val="center"/>
        <w:rPr>
          <w:rFonts w:hint="eastAsia" w:ascii="宋体" w:hAnsi="宋体" w:eastAsia="宋体" w:cs="宋体"/>
        </w:rPr>
      </w:pPr>
      <w:r>
        <w:rPr>
          <w:rFonts w:hint="eastAsia" w:ascii="宋体" w:hAnsi="宋体" w:eastAsia="宋体" w:cs="宋体"/>
          <w:b/>
          <w:bCs/>
          <w:sz w:val="36"/>
          <w:szCs w:val="36"/>
        </w:rPr>
        <w:t>第二部分</w:t>
      </w:r>
      <w:r>
        <w:rPr>
          <w:rFonts w:hint="eastAsia" w:ascii="宋体" w:hAnsi="宋体" w:eastAsia="宋体" w:cs="宋体"/>
          <w:b/>
          <w:bCs/>
          <w:sz w:val="36"/>
          <w:szCs w:val="36"/>
          <w:lang w:val="en-US" w:eastAsia="zh-CN"/>
        </w:rPr>
        <w:t>2023</w:t>
      </w:r>
      <w:r>
        <w:rPr>
          <w:rFonts w:hint="eastAsia" w:ascii="宋体" w:hAnsi="宋体" w:eastAsia="宋体" w:cs="宋体"/>
          <w:b/>
          <w:bCs/>
          <w:sz w:val="36"/>
          <w:szCs w:val="36"/>
        </w:rPr>
        <w:t>年度</w:t>
      </w:r>
      <w:r>
        <w:rPr>
          <w:rFonts w:hint="eastAsia" w:ascii="宋体" w:hAnsi="宋体" w:eastAsia="宋体" w:cs="宋体"/>
          <w:b/>
          <w:bCs/>
          <w:sz w:val="36"/>
          <w:szCs w:val="36"/>
          <w:lang w:val="en-US" w:eastAsia="zh-CN"/>
        </w:rPr>
        <w:t>锡林郭勒盟社会福利院</w:t>
      </w:r>
      <w:r>
        <w:rPr>
          <w:rFonts w:hint="eastAsia" w:ascii="宋体" w:hAnsi="宋体" w:eastAsia="宋体" w:cs="宋体"/>
          <w:b/>
          <w:bCs/>
          <w:sz w:val="36"/>
          <w:szCs w:val="36"/>
        </w:rPr>
        <w:t>预算情况说明</w:t>
      </w:r>
    </w:p>
    <w:p>
      <w:pPr>
        <w:pageBreakBefore w:val="0"/>
        <w:kinsoku/>
        <w:wordWrap/>
        <w:overflowPunct/>
        <w:topLinePunct w:val="0"/>
        <w:bidi w:val="0"/>
        <w:spacing w:line="360" w:lineRule="auto"/>
        <w:ind w:firstLine="643" w:firstLineChars="200"/>
        <w:outlineLvl w:val="0"/>
        <w:rPr>
          <w:rFonts w:hint="eastAsia" w:ascii="宋体" w:hAnsi="宋体" w:eastAsia="宋体" w:cs="宋体"/>
          <w:b/>
          <w:bCs/>
          <w:sz w:val="32"/>
          <w:szCs w:val="36"/>
        </w:rPr>
      </w:pPr>
      <w:r>
        <w:rPr>
          <w:rFonts w:hint="eastAsia" w:ascii="宋体" w:hAnsi="宋体" w:eastAsia="宋体" w:cs="宋体"/>
          <w:b/>
          <w:bCs/>
          <w:sz w:val="32"/>
          <w:szCs w:val="36"/>
        </w:rPr>
        <w:t>一、收支预算总体情况说明</w:t>
      </w:r>
    </w:p>
    <w:p>
      <w:pPr>
        <w:pStyle w:val="10"/>
        <w:pageBreakBefore w:val="0"/>
        <w:tabs>
          <w:tab w:val="left" w:pos="5840"/>
          <w:tab w:val="left" w:pos="7858"/>
          <w:tab w:val="left" w:pos="9328"/>
        </w:tabs>
        <w:kinsoku/>
        <w:wordWrap/>
        <w:overflowPunct/>
        <w:topLinePunct w:val="0"/>
        <w:bidi w:val="0"/>
        <w:spacing w:after="0"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u w:val="none"/>
          <w:lang w:val="en-US" w:eastAsia="zh-CN"/>
        </w:rPr>
        <w:t>锡林郭勒盟社会福利院</w:t>
      </w:r>
      <w:r>
        <w:rPr>
          <w:rFonts w:hint="eastAsia" w:ascii="宋体" w:hAnsi="宋体" w:eastAsia="宋体" w:cs="宋体"/>
          <w:sz w:val="32"/>
          <w:szCs w:val="32"/>
        </w:rPr>
        <w:t>年度收入、支出预算总计</w:t>
      </w:r>
      <w:r>
        <w:rPr>
          <w:rFonts w:hint="eastAsia" w:ascii="宋体" w:hAnsi="宋体" w:eastAsia="宋体" w:cs="宋体"/>
          <w:sz w:val="32"/>
          <w:szCs w:val="32"/>
          <w:u w:val="single"/>
          <w:lang w:val="en-US" w:eastAsia="zh-CN"/>
        </w:rPr>
        <w:t>1291.62</w:t>
      </w:r>
      <w:r>
        <w:rPr>
          <w:rFonts w:hint="eastAsia" w:ascii="宋体" w:hAnsi="宋体" w:eastAsia="宋体" w:cs="宋体"/>
          <w:sz w:val="32"/>
          <w:szCs w:val="32"/>
        </w:rPr>
        <w:t>万元，与上年相比收、支预算总计各</w:t>
      </w:r>
      <w:r>
        <w:rPr>
          <w:rFonts w:hint="eastAsia" w:ascii="宋体" w:hAnsi="宋体" w:eastAsia="宋体" w:cs="宋体"/>
          <w:sz w:val="32"/>
          <w:szCs w:val="32"/>
          <w:lang w:val="en-US" w:eastAsia="zh-CN"/>
        </w:rPr>
        <w:t>减少</w:t>
      </w:r>
      <w:r>
        <w:rPr>
          <w:rFonts w:hint="eastAsia" w:ascii="宋体" w:hAnsi="宋体" w:eastAsia="宋体" w:cs="宋体"/>
          <w:sz w:val="32"/>
          <w:szCs w:val="32"/>
          <w:u w:val="single"/>
          <w:lang w:val="en-US" w:eastAsia="zh-CN"/>
        </w:rPr>
        <w:t>21.84</w:t>
      </w:r>
      <w:r>
        <w:rPr>
          <w:rFonts w:hint="eastAsia" w:ascii="宋体" w:hAnsi="宋体" w:eastAsia="宋体" w:cs="宋体"/>
          <w:sz w:val="32"/>
          <w:szCs w:val="32"/>
        </w:rPr>
        <w:t>万元，</w:t>
      </w:r>
      <w:r>
        <w:rPr>
          <w:rFonts w:hint="eastAsia" w:ascii="宋体" w:hAnsi="宋体" w:eastAsia="宋体" w:cs="宋体"/>
          <w:sz w:val="32"/>
          <w:szCs w:val="32"/>
          <w:lang w:val="en-US" w:eastAsia="zh-CN"/>
        </w:rPr>
        <w:t>减少</w:t>
      </w:r>
      <w:r>
        <w:rPr>
          <w:rFonts w:hint="eastAsia" w:ascii="宋体" w:hAnsi="宋体" w:eastAsia="宋体" w:cs="宋体"/>
          <w:sz w:val="32"/>
          <w:szCs w:val="32"/>
          <w:u w:val="single"/>
          <w:lang w:val="en-US" w:eastAsia="zh-CN"/>
        </w:rPr>
        <w:t>1.66</w:t>
      </w:r>
      <w:r>
        <w:rPr>
          <w:rFonts w:hint="eastAsia" w:ascii="宋体" w:hAnsi="宋体" w:eastAsia="宋体" w:cs="宋体"/>
          <w:sz w:val="32"/>
          <w:szCs w:val="32"/>
        </w:rPr>
        <w:t>%。其中：</w:t>
      </w:r>
    </w:p>
    <w:p>
      <w:pPr>
        <w:pStyle w:val="10"/>
        <w:pageBreakBefore w:val="0"/>
        <w:tabs>
          <w:tab w:val="left" w:pos="4275"/>
        </w:tabs>
        <w:kinsoku/>
        <w:wordWrap/>
        <w:overflowPunct/>
        <w:topLinePunct w:val="0"/>
        <w:bidi w:val="0"/>
        <w:spacing w:after="0" w:line="360" w:lineRule="auto"/>
        <w:ind w:firstLine="643" w:firstLineChars="200"/>
        <w:rPr>
          <w:rFonts w:hint="eastAsia" w:ascii="宋体" w:hAnsi="宋体" w:eastAsia="宋体" w:cs="宋体"/>
          <w:b/>
          <w:bCs/>
          <w:sz w:val="32"/>
          <w:szCs w:val="32"/>
        </w:rPr>
      </w:pPr>
      <w:r>
        <w:rPr>
          <w:rFonts w:hint="eastAsia" w:ascii="宋体" w:hAnsi="宋体" w:eastAsia="宋体" w:cs="宋体"/>
          <w:b/>
          <w:bCs/>
          <w:sz w:val="32"/>
          <w:szCs w:val="32"/>
        </w:rPr>
        <w:t>（一）收入预算总计</w:t>
      </w:r>
      <w:r>
        <w:rPr>
          <w:rFonts w:hint="eastAsia" w:ascii="宋体" w:hAnsi="宋体" w:eastAsia="宋体" w:cs="宋体"/>
          <w:b/>
          <w:bCs/>
          <w:sz w:val="32"/>
          <w:szCs w:val="32"/>
          <w:u w:val="single"/>
          <w:lang w:val="en-US" w:eastAsia="zh-CN"/>
        </w:rPr>
        <w:t>1291.62</w:t>
      </w:r>
      <w:r>
        <w:rPr>
          <w:rFonts w:hint="eastAsia" w:ascii="宋体" w:hAnsi="宋体" w:eastAsia="宋体" w:cs="宋体"/>
          <w:b/>
          <w:bCs/>
          <w:sz w:val="32"/>
          <w:szCs w:val="32"/>
        </w:rPr>
        <w:t>万元。包括：</w:t>
      </w:r>
    </w:p>
    <w:p>
      <w:pPr>
        <w:pStyle w:val="10"/>
        <w:pageBreakBefore w:val="0"/>
        <w:tabs>
          <w:tab w:val="left" w:pos="3792"/>
        </w:tabs>
        <w:kinsoku/>
        <w:wordWrap/>
        <w:overflowPunct/>
        <w:topLinePunct w:val="0"/>
        <w:bidi w:val="0"/>
        <w:spacing w:after="0"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1．本年收入合计</w:t>
      </w:r>
      <w:r>
        <w:rPr>
          <w:rFonts w:hint="eastAsia" w:ascii="宋体" w:hAnsi="宋体" w:eastAsia="宋体" w:cs="宋体"/>
          <w:sz w:val="32"/>
          <w:szCs w:val="32"/>
          <w:u w:val="single"/>
          <w:lang w:val="en-US" w:eastAsia="zh-CN"/>
        </w:rPr>
        <w:t>1204.38</w:t>
      </w:r>
      <w:r>
        <w:rPr>
          <w:rFonts w:hint="eastAsia" w:ascii="宋体" w:hAnsi="宋体" w:eastAsia="宋体" w:cs="宋体"/>
          <w:sz w:val="32"/>
          <w:szCs w:val="32"/>
        </w:rPr>
        <w:t>万元。</w:t>
      </w:r>
    </w:p>
    <w:p>
      <w:pPr>
        <w:pStyle w:val="10"/>
        <w:pageBreakBefore w:val="0"/>
        <w:tabs>
          <w:tab w:val="left" w:pos="1389"/>
          <w:tab w:val="left" w:pos="4911"/>
          <w:tab w:val="left" w:pos="5898"/>
        </w:tabs>
        <w:kinsoku/>
        <w:wordWrap/>
        <w:overflowPunct/>
        <w:topLinePunct w:val="0"/>
        <w:bidi w:val="0"/>
        <w:spacing w:after="0" w:line="360" w:lineRule="auto"/>
        <w:ind w:left="319" w:leftChars="152" w:firstLine="320" w:firstLineChars="100"/>
        <w:rPr>
          <w:rFonts w:hint="default" w:ascii="宋体" w:hAnsi="宋体" w:eastAsia="宋体" w:cs="宋体"/>
          <w:sz w:val="32"/>
          <w:szCs w:val="32"/>
          <w:highlight w:val="none"/>
          <w:lang w:val="en-US"/>
        </w:rPr>
      </w:pPr>
      <w:r>
        <w:rPr>
          <w:rFonts w:hint="eastAsia" w:ascii="宋体" w:hAnsi="宋体" w:eastAsia="宋体" w:cs="宋体"/>
          <w:sz w:val="32"/>
          <w:szCs w:val="32"/>
        </w:rPr>
        <w:t>（1）一般公共预算拨款收入</w:t>
      </w:r>
      <w:r>
        <w:rPr>
          <w:rFonts w:hint="eastAsia" w:ascii="宋体" w:hAnsi="宋体" w:eastAsia="宋体" w:cs="宋体"/>
          <w:sz w:val="32"/>
          <w:szCs w:val="32"/>
          <w:u w:val="single"/>
          <w:lang w:val="en-US" w:eastAsia="zh-CN"/>
        </w:rPr>
        <w:t>664.38</w:t>
      </w:r>
      <w:r>
        <w:rPr>
          <w:rFonts w:hint="eastAsia" w:ascii="宋体" w:hAnsi="宋体" w:eastAsia="宋体" w:cs="宋体"/>
          <w:sz w:val="32"/>
          <w:szCs w:val="32"/>
        </w:rPr>
        <w:t>万元，与上年相比</w:t>
      </w:r>
      <w:r>
        <w:rPr>
          <w:rFonts w:hint="eastAsia" w:ascii="宋体" w:hAnsi="宋体" w:eastAsia="宋体" w:cs="宋体"/>
          <w:sz w:val="32"/>
          <w:szCs w:val="32"/>
          <w:lang w:val="en-US" w:eastAsia="zh-CN"/>
        </w:rPr>
        <w:t>减少</w:t>
      </w:r>
      <w:r>
        <w:rPr>
          <w:rFonts w:hint="eastAsia" w:ascii="宋体" w:hAnsi="宋体" w:eastAsia="宋体" w:cs="宋体"/>
          <w:sz w:val="32"/>
          <w:szCs w:val="32"/>
          <w:u w:val="single"/>
          <w:lang w:val="en-US" w:eastAsia="zh-CN"/>
        </w:rPr>
        <w:t>43.71</w:t>
      </w:r>
      <w:r>
        <w:rPr>
          <w:rFonts w:hint="eastAsia" w:ascii="宋体" w:hAnsi="宋体" w:eastAsia="宋体" w:cs="宋体"/>
          <w:sz w:val="32"/>
          <w:szCs w:val="32"/>
        </w:rPr>
        <w:t>万元，</w:t>
      </w:r>
      <w:r>
        <w:rPr>
          <w:rFonts w:hint="eastAsia" w:ascii="宋体" w:hAnsi="宋体" w:eastAsia="宋体" w:cs="宋体"/>
          <w:sz w:val="32"/>
          <w:szCs w:val="32"/>
          <w:lang w:val="en-US" w:eastAsia="zh-CN"/>
        </w:rPr>
        <w:t>减少</w:t>
      </w:r>
      <w:r>
        <w:rPr>
          <w:rFonts w:hint="eastAsia" w:ascii="宋体" w:hAnsi="宋体" w:eastAsia="宋体" w:cs="宋体"/>
          <w:sz w:val="32"/>
          <w:szCs w:val="32"/>
          <w:u w:val="single"/>
          <w:lang w:val="en-US" w:eastAsia="zh-CN"/>
        </w:rPr>
        <w:t>6.2</w:t>
      </w:r>
      <w:r>
        <w:rPr>
          <w:rFonts w:hint="eastAsia" w:ascii="宋体" w:hAnsi="宋体" w:eastAsia="宋体" w:cs="宋体"/>
          <w:sz w:val="32"/>
          <w:szCs w:val="32"/>
        </w:rPr>
        <w:t>%。主要原因</w:t>
      </w:r>
      <w:r>
        <w:rPr>
          <w:rFonts w:hint="eastAsia" w:ascii="宋体" w:hAnsi="宋体" w:eastAsia="宋体" w:cs="宋体"/>
          <w:sz w:val="32"/>
          <w:szCs w:val="32"/>
          <w:lang w:eastAsia="zh-CN"/>
        </w:rPr>
        <w:t>：</w:t>
      </w:r>
      <w:r>
        <w:rPr>
          <w:rFonts w:hint="eastAsia" w:ascii="宋体" w:hAnsi="宋体" w:eastAsia="宋体" w:cs="宋体"/>
          <w:sz w:val="32"/>
          <w:szCs w:val="32"/>
          <w:lang w:val="en-US" w:eastAsia="zh-CN"/>
        </w:rPr>
        <w:t>本年在职职工工资预算减少导致比上年减少。</w:t>
      </w:r>
    </w:p>
    <w:p>
      <w:pPr>
        <w:pStyle w:val="10"/>
        <w:pageBreakBefore w:val="0"/>
        <w:tabs>
          <w:tab w:val="left" w:pos="1389"/>
          <w:tab w:val="left" w:pos="4911"/>
          <w:tab w:val="left" w:pos="5991"/>
        </w:tabs>
        <w:kinsoku/>
        <w:wordWrap/>
        <w:overflowPunct/>
        <w:topLinePunct w:val="0"/>
        <w:bidi w:val="0"/>
        <w:spacing w:after="0" w:line="360" w:lineRule="auto"/>
        <w:ind w:firstLine="640" w:firstLineChars="200"/>
        <w:rPr>
          <w:rFonts w:hint="eastAsia" w:ascii="宋体" w:hAnsi="宋体" w:eastAsia="宋体" w:cs="宋体"/>
          <w:sz w:val="32"/>
          <w:szCs w:val="32"/>
          <w:u w:val="single"/>
        </w:rPr>
      </w:pPr>
      <w:r>
        <w:rPr>
          <w:rFonts w:hint="eastAsia" w:ascii="宋体" w:hAnsi="宋体" w:eastAsia="宋体" w:cs="宋体"/>
          <w:sz w:val="32"/>
          <w:szCs w:val="32"/>
        </w:rPr>
        <w:t>（2）政府性基金预算拨款收入</w:t>
      </w:r>
      <w:r>
        <w:rPr>
          <w:rFonts w:hint="eastAsia" w:ascii="宋体" w:hAnsi="宋体" w:eastAsia="宋体" w:cs="宋体"/>
          <w:sz w:val="32"/>
          <w:szCs w:val="32"/>
          <w:u w:val="single"/>
          <w:lang w:val="en-US" w:eastAsia="zh-CN"/>
        </w:rPr>
        <w:t>95</w:t>
      </w:r>
      <w:r>
        <w:rPr>
          <w:rFonts w:hint="eastAsia" w:ascii="宋体" w:hAnsi="宋体" w:eastAsia="宋体" w:cs="宋体"/>
          <w:sz w:val="32"/>
          <w:szCs w:val="32"/>
        </w:rPr>
        <w:t>万元，与上年相比增加</w:t>
      </w:r>
      <w:r>
        <w:rPr>
          <w:rFonts w:hint="eastAsia" w:ascii="宋体" w:hAnsi="宋体" w:eastAsia="宋体" w:cs="宋体"/>
          <w:sz w:val="32"/>
          <w:szCs w:val="32"/>
          <w:u w:val="single"/>
          <w:lang w:val="en-US" w:eastAsia="zh-CN"/>
        </w:rPr>
        <w:t>70</w:t>
      </w:r>
      <w:r>
        <w:rPr>
          <w:rFonts w:hint="eastAsia" w:ascii="宋体" w:hAnsi="宋体" w:eastAsia="宋体" w:cs="宋体"/>
          <w:sz w:val="32"/>
          <w:szCs w:val="32"/>
        </w:rPr>
        <w:t>万元，增长</w:t>
      </w:r>
      <w:r>
        <w:rPr>
          <w:rFonts w:hint="eastAsia" w:ascii="宋体" w:hAnsi="宋体" w:eastAsia="宋体" w:cs="宋体"/>
          <w:sz w:val="32"/>
          <w:szCs w:val="32"/>
          <w:u w:val="single"/>
          <w:lang w:val="en-US" w:eastAsia="zh-CN"/>
        </w:rPr>
        <w:t>350</w:t>
      </w:r>
      <w:r>
        <w:rPr>
          <w:rFonts w:hint="eastAsia" w:ascii="宋体" w:hAnsi="宋体" w:eastAsia="宋体" w:cs="宋体"/>
          <w:sz w:val="32"/>
          <w:szCs w:val="32"/>
        </w:rPr>
        <w:t>%。主要原因是</w:t>
      </w:r>
      <w:r>
        <w:rPr>
          <w:rFonts w:hint="eastAsia" w:ascii="宋体" w:hAnsi="宋体" w:eastAsia="宋体" w:cs="宋体"/>
          <w:sz w:val="32"/>
          <w:szCs w:val="32"/>
          <w:u w:val="none"/>
          <w:lang w:val="en-US" w:eastAsia="zh-CN"/>
        </w:rPr>
        <w:t>本年新增</w:t>
      </w:r>
      <w:r>
        <w:rPr>
          <w:rFonts w:hint="eastAsia" w:ascii="宋体" w:hAnsi="宋体" w:eastAsia="宋体" w:cs="宋体"/>
          <w:sz w:val="32"/>
          <w:szCs w:val="32"/>
        </w:rPr>
        <w:t>政府性基金</w:t>
      </w:r>
      <w:r>
        <w:rPr>
          <w:rFonts w:hint="eastAsia" w:ascii="宋体" w:hAnsi="宋体" w:eastAsia="宋体" w:cs="宋体"/>
          <w:sz w:val="32"/>
          <w:szCs w:val="32"/>
          <w:u w:val="none"/>
          <w:lang w:val="en-US" w:eastAsia="zh-CN"/>
        </w:rPr>
        <w:t>消防改造资金95万元</w:t>
      </w:r>
      <w:r>
        <w:rPr>
          <w:rFonts w:hint="eastAsia" w:ascii="宋体" w:hAnsi="宋体" w:eastAsia="宋体" w:cs="宋体"/>
          <w:sz w:val="32"/>
          <w:szCs w:val="32"/>
          <w:u w:val="none"/>
        </w:rPr>
        <w:t>。</w:t>
      </w:r>
    </w:p>
    <w:p>
      <w:pPr>
        <w:pStyle w:val="10"/>
        <w:pageBreakBefore w:val="0"/>
        <w:tabs>
          <w:tab w:val="left" w:pos="1389"/>
          <w:tab w:val="left" w:pos="4911"/>
          <w:tab w:val="left" w:pos="5991"/>
        </w:tabs>
        <w:kinsoku/>
        <w:wordWrap/>
        <w:overflowPunct/>
        <w:topLinePunct w:val="0"/>
        <w:bidi w:val="0"/>
        <w:spacing w:after="0"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（3）国有资本经营预算拨款收入</w:t>
      </w:r>
      <w:r>
        <w:rPr>
          <w:rFonts w:hint="eastAsia" w:ascii="宋体" w:hAnsi="宋体" w:eastAsia="宋体" w:cs="宋体"/>
          <w:sz w:val="32"/>
          <w:szCs w:val="32"/>
          <w:u w:val="single"/>
          <w:lang w:val="en-US" w:eastAsia="zh-CN"/>
        </w:rPr>
        <w:t>0</w:t>
      </w:r>
      <w:r>
        <w:rPr>
          <w:rFonts w:hint="eastAsia" w:ascii="宋体" w:hAnsi="宋体" w:eastAsia="宋体" w:cs="宋体"/>
          <w:sz w:val="32"/>
          <w:szCs w:val="32"/>
        </w:rPr>
        <w:t>万元，与上年相比增加</w:t>
      </w:r>
      <w:r>
        <w:rPr>
          <w:rFonts w:hint="eastAsia" w:ascii="宋体" w:hAnsi="宋体" w:eastAsia="宋体" w:cs="宋体"/>
          <w:sz w:val="32"/>
          <w:szCs w:val="32"/>
          <w:u w:val="single"/>
          <w:lang w:val="en-US" w:eastAsia="zh-CN"/>
        </w:rPr>
        <w:t>0</w:t>
      </w:r>
      <w:r>
        <w:rPr>
          <w:rFonts w:hint="eastAsia" w:ascii="宋体" w:hAnsi="宋体" w:eastAsia="宋体" w:cs="宋体"/>
          <w:sz w:val="32"/>
          <w:szCs w:val="32"/>
        </w:rPr>
        <w:t>万元，增长</w:t>
      </w:r>
      <w:r>
        <w:rPr>
          <w:rFonts w:hint="eastAsia" w:ascii="宋体" w:hAnsi="宋体" w:eastAsia="宋体" w:cs="宋体"/>
          <w:sz w:val="32"/>
          <w:szCs w:val="32"/>
          <w:u w:val="single"/>
          <w:lang w:val="en-US" w:eastAsia="zh-CN"/>
        </w:rPr>
        <w:t>0</w:t>
      </w:r>
      <w:r>
        <w:rPr>
          <w:rFonts w:hint="eastAsia" w:ascii="宋体" w:hAnsi="宋体" w:eastAsia="宋体" w:cs="宋体"/>
          <w:sz w:val="32"/>
          <w:szCs w:val="32"/>
        </w:rPr>
        <w:t>%。主要原因是</w:t>
      </w:r>
      <w:r>
        <w:rPr>
          <w:rFonts w:hint="eastAsia" w:ascii="宋体" w:hAnsi="宋体" w:eastAsia="宋体" w:cs="宋体"/>
          <w:sz w:val="32"/>
          <w:szCs w:val="32"/>
          <w:u w:val="none"/>
        </w:rPr>
        <w:t>不存在此项内容。</w:t>
      </w:r>
    </w:p>
    <w:p>
      <w:pPr>
        <w:pStyle w:val="10"/>
        <w:pageBreakBefore w:val="0"/>
        <w:tabs>
          <w:tab w:val="left" w:pos="1389"/>
          <w:tab w:val="left" w:pos="4911"/>
          <w:tab w:val="left" w:pos="5991"/>
        </w:tabs>
        <w:kinsoku/>
        <w:wordWrap/>
        <w:overflowPunct/>
        <w:topLinePunct w:val="0"/>
        <w:bidi w:val="0"/>
        <w:spacing w:after="0"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（4）财政专户管理资金收入</w:t>
      </w:r>
      <w:r>
        <w:rPr>
          <w:rFonts w:hint="eastAsia" w:ascii="宋体" w:hAnsi="宋体" w:eastAsia="宋体" w:cs="宋体"/>
          <w:sz w:val="32"/>
          <w:szCs w:val="32"/>
          <w:u w:val="single"/>
          <w:lang w:val="en-US" w:eastAsia="zh-CN"/>
        </w:rPr>
        <w:t>0</w:t>
      </w:r>
      <w:r>
        <w:rPr>
          <w:rFonts w:hint="eastAsia" w:ascii="宋体" w:hAnsi="宋体" w:eastAsia="宋体" w:cs="宋体"/>
          <w:sz w:val="32"/>
          <w:szCs w:val="32"/>
        </w:rPr>
        <w:t>万元，与上年相比增加万元，增长</w:t>
      </w:r>
      <w:r>
        <w:rPr>
          <w:rFonts w:hint="eastAsia" w:ascii="宋体" w:hAnsi="宋体" w:eastAsia="宋体" w:cs="宋体"/>
          <w:sz w:val="32"/>
          <w:szCs w:val="32"/>
          <w:u w:val="single"/>
          <w:lang w:val="en-US" w:eastAsia="zh-CN"/>
        </w:rPr>
        <w:t>0</w:t>
      </w:r>
      <w:r>
        <w:rPr>
          <w:rFonts w:hint="eastAsia" w:ascii="宋体" w:hAnsi="宋体" w:eastAsia="宋体" w:cs="宋体"/>
          <w:sz w:val="32"/>
          <w:szCs w:val="32"/>
        </w:rPr>
        <w:t>%。主要原因是</w:t>
      </w:r>
      <w:r>
        <w:rPr>
          <w:rFonts w:hint="eastAsia" w:ascii="宋体" w:hAnsi="宋体" w:eastAsia="宋体" w:cs="宋体"/>
          <w:sz w:val="32"/>
          <w:szCs w:val="32"/>
          <w:u w:val="none"/>
        </w:rPr>
        <w:t>不存在此项内容。</w:t>
      </w:r>
    </w:p>
    <w:p>
      <w:pPr>
        <w:pStyle w:val="10"/>
        <w:pageBreakBefore w:val="0"/>
        <w:tabs>
          <w:tab w:val="left" w:pos="3310"/>
          <w:tab w:val="left" w:pos="3807"/>
          <w:tab w:val="left" w:pos="9433"/>
        </w:tabs>
        <w:kinsoku/>
        <w:wordWrap/>
        <w:overflowPunct/>
        <w:topLinePunct w:val="0"/>
        <w:bidi w:val="0"/>
        <w:spacing w:after="0" w:line="360" w:lineRule="auto"/>
        <w:ind w:firstLine="640" w:firstLineChars="200"/>
        <w:rPr>
          <w:rFonts w:hint="eastAsia" w:ascii="宋体" w:hAnsi="宋体" w:eastAsia="宋体" w:cs="宋体"/>
          <w:sz w:val="32"/>
          <w:szCs w:val="32"/>
          <w:u w:val="none"/>
          <w:lang w:val="en-US"/>
        </w:rPr>
      </w:pPr>
      <w:r>
        <w:rPr>
          <w:rFonts w:hint="eastAsia" w:ascii="宋体" w:hAnsi="宋体" w:eastAsia="宋体" w:cs="宋体"/>
          <w:sz w:val="32"/>
          <w:szCs w:val="32"/>
        </w:rPr>
        <w:t>（5）事业收入</w:t>
      </w:r>
      <w:r>
        <w:rPr>
          <w:rFonts w:hint="eastAsia" w:ascii="宋体" w:hAnsi="宋体" w:eastAsia="宋体" w:cs="宋体"/>
          <w:sz w:val="32"/>
          <w:szCs w:val="32"/>
          <w:u w:val="single"/>
          <w:lang w:val="en-US" w:eastAsia="zh-CN"/>
        </w:rPr>
        <w:t>445</w:t>
      </w:r>
      <w:r>
        <w:rPr>
          <w:rFonts w:hint="eastAsia" w:ascii="宋体" w:hAnsi="宋体" w:eastAsia="宋体" w:cs="宋体"/>
          <w:sz w:val="32"/>
          <w:szCs w:val="32"/>
        </w:rPr>
        <w:t>万元，与上年相比增加</w:t>
      </w:r>
      <w:r>
        <w:rPr>
          <w:rFonts w:hint="eastAsia" w:ascii="宋体" w:hAnsi="宋体" w:eastAsia="宋体" w:cs="宋体"/>
          <w:sz w:val="32"/>
          <w:szCs w:val="32"/>
          <w:u w:val="single"/>
          <w:lang w:val="en-US" w:eastAsia="zh-CN"/>
        </w:rPr>
        <w:t>115</w:t>
      </w:r>
      <w:r>
        <w:rPr>
          <w:rFonts w:hint="eastAsia" w:ascii="宋体" w:hAnsi="宋体" w:eastAsia="宋体" w:cs="宋体"/>
          <w:sz w:val="32"/>
          <w:szCs w:val="32"/>
        </w:rPr>
        <w:t>万元，增长</w:t>
      </w:r>
      <w:r>
        <w:rPr>
          <w:rFonts w:hint="eastAsia" w:ascii="宋体" w:hAnsi="宋体" w:eastAsia="宋体" w:cs="宋体"/>
          <w:sz w:val="32"/>
          <w:szCs w:val="32"/>
          <w:u w:val="single"/>
          <w:lang w:val="en-US" w:eastAsia="zh-CN"/>
        </w:rPr>
        <w:t>34.85</w:t>
      </w:r>
      <w:r>
        <w:rPr>
          <w:rFonts w:hint="eastAsia" w:ascii="宋体" w:hAnsi="宋体" w:eastAsia="宋体" w:cs="宋体"/>
          <w:sz w:val="32"/>
          <w:szCs w:val="32"/>
        </w:rPr>
        <w:t>%。主要原因是</w:t>
      </w:r>
      <w:r>
        <w:rPr>
          <w:rFonts w:hint="eastAsia" w:ascii="宋体" w:hAnsi="宋体" w:eastAsia="宋体" w:cs="宋体"/>
          <w:sz w:val="32"/>
          <w:szCs w:val="32"/>
          <w:u w:val="none"/>
          <w:lang w:val="en-US" w:eastAsia="zh-CN"/>
        </w:rPr>
        <w:t>上年事业收入结转资金未纳入预算，本年年初预算事业收入为445万元。</w:t>
      </w:r>
    </w:p>
    <w:p>
      <w:pPr>
        <w:pStyle w:val="10"/>
        <w:pageBreakBefore w:val="0"/>
        <w:tabs>
          <w:tab w:val="left" w:pos="1389"/>
          <w:tab w:val="left" w:pos="4911"/>
          <w:tab w:val="left" w:pos="5991"/>
        </w:tabs>
        <w:kinsoku/>
        <w:wordWrap/>
        <w:overflowPunct/>
        <w:topLinePunct w:val="0"/>
        <w:bidi w:val="0"/>
        <w:spacing w:after="0"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（6）事业单位经营收入</w:t>
      </w:r>
      <w:r>
        <w:rPr>
          <w:rFonts w:hint="eastAsia" w:ascii="宋体" w:hAnsi="宋体" w:eastAsia="宋体" w:cs="宋体"/>
          <w:sz w:val="32"/>
          <w:szCs w:val="32"/>
          <w:u w:val="single"/>
          <w:lang w:val="en-US" w:eastAsia="zh-CN"/>
        </w:rPr>
        <w:t>0</w:t>
      </w:r>
      <w:r>
        <w:rPr>
          <w:rFonts w:hint="eastAsia" w:ascii="宋体" w:hAnsi="宋体" w:eastAsia="宋体" w:cs="宋体"/>
          <w:sz w:val="32"/>
          <w:szCs w:val="32"/>
        </w:rPr>
        <w:t>万元，与上年相比增加</w:t>
      </w:r>
      <w:r>
        <w:rPr>
          <w:rFonts w:hint="eastAsia" w:ascii="宋体" w:hAnsi="宋体" w:eastAsia="宋体" w:cs="宋体"/>
          <w:sz w:val="32"/>
          <w:szCs w:val="32"/>
          <w:u w:val="single"/>
          <w:lang w:val="en-US" w:eastAsia="zh-CN"/>
        </w:rPr>
        <w:t>0</w:t>
      </w:r>
      <w:r>
        <w:rPr>
          <w:rFonts w:hint="eastAsia" w:ascii="宋体" w:hAnsi="宋体" w:eastAsia="宋体" w:cs="宋体"/>
          <w:sz w:val="32"/>
          <w:szCs w:val="32"/>
        </w:rPr>
        <w:t>万元，增长</w:t>
      </w:r>
      <w:r>
        <w:rPr>
          <w:rFonts w:hint="eastAsia" w:ascii="宋体" w:hAnsi="宋体" w:eastAsia="宋体" w:cs="宋体"/>
          <w:sz w:val="32"/>
          <w:szCs w:val="32"/>
          <w:u w:val="single"/>
          <w:lang w:val="en-US" w:eastAsia="zh-CN"/>
        </w:rPr>
        <w:t>0</w:t>
      </w:r>
      <w:r>
        <w:rPr>
          <w:rFonts w:hint="eastAsia" w:ascii="宋体" w:hAnsi="宋体" w:eastAsia="宋体" w:cs="宋体"/>
          <w:sz w:val="32"/>
          <w:szCs w:val="32"/>
        </w:rPr>
        <w:t>%。主要原因是</w:t>
      </w:r>
      <w:r>
        <w:rPr>
          <w:rFonts w:hint="eastAsia" w:ascii="宋体" w:hAnsi="宋体" w:eastAsia="宋体" w:cs="宋体"/>
          <w:sz w:val="32"/>
          <w:szCs w:val="32"/>
          <w:u w:val="none"/>
        </w:rPr>
        <w:t>不存在此项内容。</w:t>
      </w:r>
    </w:p>
    <w:p>
      <w:pPr>
        <w:pStyle w:val="10"/>
        <w:pageBreakBefore w:val="0"/>
        <w:tabs>
          <w:tab w:val="left" w:pos="1389"/>
          <w:tab w:val="left" w:pos="4911"/>
          <w:tab w:val="left" w:pos="5991"/>
        </w:tabs>
        <w:kinsoku/>
        <w:wordWrap/>
        <w:overflowPunct/>
        <w:topLinePunct w:val="0"/>
        <w:bidi w:val="0"/>
        <w:spacing w:after="0"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（7）上级补助收入</w:t>
      </w:r>
      <w:r>
        <w:rPr>
          <w:rFonts w:hint="eastAsia" w:ascii="宋体" w:hAnsi="宋体" w:eastAsia="宋体" w:cs="宋体"/>
          <w:sz w:val="32"/>
          <w:szCs w:val="32"/>
          <w:u w:val="single"/>
          <w:lang w:val="en-US" w:eastAsia="zh-CN"/>
        </w:rPr>
        <w:t>0</w:t>
      </w:r>
      <w:r>
        <w:rPr>
          <w:rFonts w:hint="eastAsia" w:ascii="宋体" w:hAnsi="宋体" w:eastAsia="宋体" w:cs="宋体"/>
          <w:sz w:val="32"/>
          <w:szCs w:val="32"/>
        </w:rPr>
        <w:t>万元，与上年相比增加</w:t>
      </w:r>
      <w:r>
        <w:rPr>
          <w:rFonts w:hint="eastAsia" w:ascii="宋体" w:hAnsi="宋体" w:eastAsia="宋体" w:cs="宋体"/>
          <w:sz w:val="32"/>
          <w:szCs w:val="32"/>
          <w:u w:val="single"/>
          <w:lang w:val="en-US" w:eastAsia="zh-CN"/>
        </w:rPr>
        <w:t>0</w:t>
      </w:r>
      <w:r>
        <w:rPr>
          <w:rFonts w:hint="eastAsia" w:ascii="宋体" w:hAnsi="宋体" w:eastAsia="宋体" w:cs="宋体"/>
          <w:sz w:val="32"/>
          <w:szCs w:val="32"/>
        </w:rPr>
        <w:t>万元，增长</w:t>
      </w:r>
      <w:r>
        <w:rPr>
          <w:rFonts w:hint="eastAsia" w:ascii="宋体" w:hAnsi="宋体" w:eastAsia="宋体" w:cs="宋体"/>
          <w:sz w:val="32"/>
          <w:szCs w:val="32"/>
          <w:u w:val="single"/>
          <w:lang w:val="en-US" w:eastAsia="zh-CN"/>
        </w:rPr>
        <w:t>0</w:t>
      </w:r>
      <w:r>
        <w:rPr>
          <w:rFonts w:hint="eastAsia" w:ascii="宋体" w:hAnsi="宋体" w:eastAsia="宋体" w:cs="宋体"/>
          <w:sz w:val="32"/>
          <w:szCs w:val="32"/>
        </w:rPr>
        <w:t>%。主要原因是</w:t>
      </w:r>
      <w:r>
        <w:rPr>
          <w:rFonts w:hint="eastAsia" w:ascii="宋体" w:hAnsi="宋体" w:eastAsia="宋体" w:cs="宋体"/>
          <w:sz w:val="32"/>
          <w:szCs w:val="32"/>
          <w:u w:val="none"/>
        </w:rPr>
        <w:t>不存在此项内容。</w:t>
      </w:r>
    </w:p>
    <w:p>
      <w:pPr>
        <w:pStyle w:val="10"/>
        <w:pageBreakBefore w:val="0"/>
        <w:tabs>
          <w:tab w:val="left" w:pos="1389"/>
          <w:tab w:val="left" w:pos="4911"/>
          <w:tab w:val="left" w:pos="5991"/>
        </w:tabs>
        <w:kinsoku/>
        <w:wordWrap/>
        <w:overflowPunct/>
        <w:topLinePunct w:val="0"/>
        <w:bidi w:val="0"/>
        <w:spacing w:after="0" w:line="360" w:lineRule="auto"/>
        <w:ind w:firstLine="640" w:firstLineChars="200"/>
        <w:rPr>
          <w:rFonts w:hint="eastAsia" w:ascii="宋体" w:hAnsi="宋体" w:eastAsia="宋体" w:cs="宋体"/>
          <w:sz w:val="32"/>
          <w:szCs w:val="32"/>
          <w:u w:val="single"/>
        </w:rPr>
      </w:pPr>
      <w:r>
        <w:rPr>
          <w:rFonts w:hint="eastAsia" w:ascii="宋体" w:hAnsi="宋体" w:eastAsia="宋体" w:cs="宋体"/>
          <w:sz w:val="32"/>
          <w:szCs w:val="32"/>
        </w:rPr>
        <w:t>（8）附属单位上缴收入</w:t>
      </w:r>
      <w:r>
        <w:rPr>
          <w:rFonts w:hint="eastAsia" w:ascii="宋体" w:hAnsi="宋体" w:eastAsia="宋体" w:cs="宋体"/>
          <w:sz w:val="32"/>
          <w:szCs w:val="32"/>
          <w:u w:val="single"/>
          <w:lang w:val="en-US" w:eastAsia="zh-CN"/>
        </w:rPr>
        <w:t>0</w:t>
      </w:r>
      <w:r>
        <w:rPr>
          <w:rFonts w:hint="eastAsia" w:ascii="宋体" w:hAnsi="宋体" w:eastAsia="宋体" w:cs="宋体"/>
          <w:sz w:val="32"/>
          <w:szCs w:val="32"/>
        </w:rPr>
        <w:t>万元，与上年相比增加</w:t>
      </w:r>
      <w:r>
        <w:rPr>
          <w:rFonts w:hint="eastAsia" w:ascii="宋体" w:hAnsi="宋体" w:eastAsia="宋体" w:cs="宋体"/>
          <w:sz w:val="32"/>
          <w:szCs w:val="32"/>
          <w:u w:val="single"/>
          <w:lang w:val="en-US" w:eastAsia="zh-CN"/>
        </w:rPr>
        <w:t>0</w:t>
      </w:r>
      <w:r>
        <w:rPr>
          <w:rFonts w:hint="eastAsia" w:ascii="宋体" w:hAnsi="宋体" w:eastAsia="宋体" w:cs="宋体"/>
          <w:sz w:val="32"/>
          <w:szCs w:val="32"/>
        </w:rPr>
        <w:t>万元，增长</w:t>
      </w:r>
      <w:r>
        <w:rPr>
          <w:rFonts w:hint="eastAsia" w:ascii="宋体" w:hAnsi="宋体" w:eastAsia="宋体" w:cs="宋体"/>
          <w:sz w:val="32"/>
          <w:szCs w:val="32"/>
          <w:u w:val="single"/>
          <w:lang w:val="en-US" w:eastAsia="zh-CN"/>
        </w:rPr>
        <w:t>0</w:t>
      </w:r>
      <w:r>
        <w:rPr>
          <w:rFonts w:hint="eastAsia" w:ascii="宋体" w:hAnsi="宋体" w:eastAsia="宋体" w:cs="宋体"/>
          <w:sz w:val="32"/>
          <w:szCs w:val="32"/>
        </w:rPr>
        <w:t>%。主要原因是</w:t>
      </w:r>
      <w:r>
        <w:rPr>
          <w:rFonts w:hint="eastAsia" w:ascii="宋体" w:hAnsi="宋体" w:eastAsia="宋体" w:cs="宋体"/>
          <w:sz w:val="32"/>
          <w:szCs w:val="32"/>
          <w:u w:val="none"/>
        </w:rPr>
        <w:t>不存在此项内容。</w:t>
      </w:r>
    </w:p>
    <w:p>
      <w:pPr>
        <w:pStyle w:val="10"/>
        <w:pageBreakBefore w:val="0"/>
        <w:tabs>
          <w:tab w:val="left" w:pos="1389"/>
          <w:tab w:val="left" w:pos="4911"/>
          <w:tab w:val="left" w:pos="5991"/>
        </w:tabs>
        <w:kinsoku/>
        <w:wordWrap/>
        <w:overflowPunct/>
        <w:topLinePunct w:val="0"/>
        <w:bidi w:val="0"/>
        <w:spacing w:after="0"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（9）其他收入</w:t>
      </w:r>
      <w:r>
        <w:rPr>
          <w:rFonts w:hint="eastAsia" w:ascii="宋体" w:hAnsi="宋体" w:eastAsia="宋体" w:cs="宋体"/>
          <w:sz w:val="32"/>
          <w:szCs w:val="32"/>
          <w:u w:val="single"/>
          <w:lang w:val="en-US" w:eastAsia="zh-CN"/>
        </w:rPr>
        <w:t>0</w:t>
      </w:r>
      <w:r>
        <w:rPr>
          <w:rFonts w:hint="eastAsia" w:ascii="宋体" w:hAnsi="宋体" w:eastAsia="宋体" w:cs="宋体"/>
          <w:sz w:val="32"/>
          <w:szCs w:val="32"/>
        </w:rPr>
        <w:t>万元，与上年相比增加</w:t>
      </w:r>
      <w:r>
        <w:rPr>
          <w:rFonts w:hint="eastAsia" w:ascii="宋体" w:hAnsi="宋体" w:eastAsia="宋体" w:cs="宋体"/>
          <w:sz w:val="32"/>
          <w:szCs w:val="32"/>
          <w:u w:val="single"/>
          <w:lang w:val="en-US" w:eastAsia="zh-CN"/>
        </w:rPr>
        <w:t>0</w:t>
      </w:r>
      <w:r>
        <w:rPr>
          <w:rFonts w:hint="eastAsia" w:ascii="宋体" w:hAnsi="宋体" w:eastAsia="宋体" w:cs="宋体"/>
          <w:sz w:val="32"/>
          <w:szCs w:val="32"/>
        </w:rPr>
        <w:t>万元，增长</w:t>
      </w:r>
      <w:r>
        <w:rPr>
          <w:rFonts w:hint="eastAsia" w:ascii="宋体" w:hAnsi="宋体" w:eastAsia="宋体" w:cs="宋体"/>
          <w:sz w:val="32"/>
          <w:szCs w:val="32"/>
          <w:u w:val="single"/>
          <w:lang w:val="en-US" w:eastAsia="zh-CN"/>
        </w:rPr>
        <w:t>0</w:t>
      </w:r>
      <w:r>
        <w:rPr>
          <w:rFonts w:hint="eastAsia" w:ascii="宋体" w:hAnsi="宋体" w:eastAsia="宋体" w:cs="宋体"/>
          <w:sz w:val="32"/>
          <w:szCs w:val="32"/>
        </w:rPr>
        <w:t>%。主要原因是</w:t>
      </w:r>
      <w:r>
        <w:rPr>
          <w:rFonts w:hint="eastAsia" w:ascii="宋体" w:hAnsi="宋体" w:eastAsia="宋体" w:cs="宋体"/>
          <w:sz w:val="32"/>
          <w:szCs w:val="32"/>
          <w:u w:val="none"/>
        </w:rPr>
        <w:t>不存在此项内容。</w:t>
      </w:r>
    </w:p>
    <w:p>
      <w:pPr>
        <w:pStyle w:val="10"/>
        <w:pageBreakBefore w:val="0"/>
        <w:tabs>
          <w:tab w:val="left" w:pos="1389"/>
          <w:tab w:val="left" w:pos="4911"/>
          <w:tab w:val="left" w:pos="5991"/>
        </w:tabs>
        <w:kinsoku/>
        <w:wordWrap/>
        <w:overflowPunct/>
        <w:topLinePunct w:val="0"/>
        <w:bidi w:val="0"/>
        <w:spacing w:after="0" w:line="360" w:lineRule="auto"/>
        <w:ind w:firstLine="640" w:firstLineChars="200"/>
        <w:rPr>
          <w:rFonts w:hint="eastAsia" w:ascii="宋体" w:hAnsi="宋体" w:eastAsia="宋体" w:cs="宋体"/>
          <w:sz w:val="32"/>
          <w:szCs w:val="32"/>
          <w:highlight w:val="none"/>
          <w:u w:val="single"/>
          <w:lang w:val="en-US" w:eastAsia="zh-CN"/>
        </w:rPr>
      </w:pPr>
      <w:r>
        <w:rPr>
          <w:rFonts w:hint="eastAsia" w:ascii="宋体" w:hAnsi="宋体" w:eastAsia="宋体" w:cs="宋体"/>
          <w:sz w:val="32"/>
          <w:szCs w:val="32"/>
        </w:rPr>
        <w:t>2．上年结转结余为</w:t>
      </w:r>
      <w:r>
        <w:rPr>
          <w:rFonts w:hint="eastAsia" w:ascii="宋体" w:hAnsi="宋体" w:eastAsia="宋体" w:cs="宋体"/>
          <w:sz w:val="32"/>
          <w:szCs w:val="32"/>
          <w:u w:val="single"/>
          <w:lang w:val="en-US" w:eastAsia="zh-CN"/>
        </w:rPr>
        <w:t>87.25</w:t>
      </w:r>
      <w:r>
        <w:rPr>
          <w:rFonts w:hint="eastAsia" w:ascii="宋体" w:hAnsi="宋体" w:eastAsia="宋体" w:cs="宋体"/>
          <w:sz w:val="32"/>
          <w:szCs w:val="32"/>
        </w:rPr>
        <w:t>万元。与上年相比</w:t>
      </w:r>
      <w:r>
        <w:rPr>
          <w:rFonts w:hint="eastAsia" w:ascii="宋体" w:hAnsi="宋体" w:eastAsia="宋体" w:cs="宋体"/>
          <w:sz w:val="32"/>
          <w:szCs w:val="32"/>
          <w:lang w:val="en-US" w:eastAsia="zh-CN"/>
        </w:rPr>
        <w:t>减少</w:t>
      </w:r>
      <w:r>
        <w:rPr>
          <w:rFonts w:hint="eastAsia" w:ascii="宋体" w:hAnsi="宋体" w:eastAsia="宋体" w:cs="宋体"/>
          <w:sz w:val="32"/>
          <w:szCs w:val="32"/>
          <w:u w:val="single"/>
          <w:lang w:val="en-US" w:eastAsia="zh-CN"/>
        </w:rPr>
        <w:t>163.12</w:t>
      </w:r>
      <w:r>
        <w:rPr>
          <w:rFonts w:hint="eastAsia" w:ascii="宋体" w:hAnsi="宋体" w:eastAsia="宋体" w:cs="宋体"/>
          <w:sz w:val="32"/>
          <w:szCs w:val="32"/>
        </w:rPr>
        <w:t>万元，</w:t>
      </w:r>
      <w:r>
        <w:rPr>
          <w:rFonts w:hint="eastAsia" w:ascii="宋体" w:hAnsi="宋体" w:eastAsia="宋体" w:cs="宋体"/>
          <w:sz w:val="32"/>
          <w:szCs w:val="32"/>
          <w:lang w:val="en-US" w:eastAsia="zh-CN"/>
        </w:rPr>
        <w:t>减少</w:t>
      </w:r>
      <w:r>
        <w:rPr>
          <w:rFonts w:hint="eastAsia" w:ascii="宋体" w:hAnsi="宋体" w:eastAsia="宋体" w:cs="宋体"/>
          <w:sz w:val="32"/>
          <w:szCs w:val="32"/>
          <w:u w:val="single"/>
          <w:lang w:val="en-US" w:eastAsia="zh-CN"/>
        </w:rPr>
        <w:t>65.15</w:t>
      </w:r>
      <w:r>
        <w:rPr>
          <w:rFonts w:hint="eastAsia" w:ascii="宋体" w:hAnsi="宋体" w:eastAsia="宋体" w:cs="宋体"/>
          <w:sz w:val="32"/>
          <w:szCs w:val="32"/>
        </w:rPr>
        <w:t>%。主要原因是</w:t>
      </w:r>
      <w:r>
        <w:rPr>
          <w:rFonts w:hint="eastAsia" w:ascii="宋体" w:hAnsi="宋体" w:eastAsia="宋体" w:cs="宋体"/>
          <w:sz w:val="32"/>
          <w:szCs w:val="32"/>
          <w:lang w:val="en-US" w:eastAsia="zh-CN"/>
        </w:rPr>
        <w:t>上年有一笔用于购买适老化家具的政府性基金在本年支付，所以</w:t>
      </w:r>
      <w:r>
        <w:rPr>
          <w:rFonts w:hint="eastAsia" w:ascii="宋体" w:hAnsi="宋体" w:eastAsia="宋体" w:cs="宋体"/>
          <w:sz w:val="32"/>
          <w:szCs w:val="32"/>
        </w:rPr>
        <w:t>上年结转结余</w:t>
      </w:r>
      <w:r>
        <w:rPr>
          <w:rFonts w:hint="eastAsia" w:ascii="宋体" w:hAnsi="宋体" w:eastAsia="宋体" w:cs="宋体"/>
          <w:sz w:val="32"/>
          <w:szCs w:val="32"/>
          <w:lang w:val="en-US" w:eastAsia="zh-CN"/>
        </w:rPr>
        <w:t>减少</w:t>
      </w:r>
      <w:r>
        <w:rPr>
          <w:rFonts w:hint="eastAsia" w:ascii="宋体" w:hAnsi="宋体" w:eastAsia="宋体" w:cs="宋体"/>
          <w:sz w:val="32"/>
          <w:szCs w:val="32"/>
          <w:highlight w:val="none"/>
          <w:lang w:val="en-US" w:eastAsia="zh-CN"/>
        </w:rPr>
        <w:t>。</w:t>
      </w:r>
    </w:p>
    <w:p>
      <w:pPr>
        <w:pStyle w:val="10"/>
        <w:pageBreakBefore w:val="0"/>
        <w:tabs>
          <w:tab w:val="left" w:pos="4275"/>
        </w:tabs>
        <w:kinsoku/>
        <w:wordWrap/>
        <w:overflowPunct/>
        <w:topLinePunct w:val="0"/>
        <w:bidi w:val="0"/>
        <w:spacing w:after="0" w:line="360" w:lineRule="auto"/>
        <w:ind w:firstLine="643" w:firstLineChars="200"/>
        <w:rPr>
          <w:rFonts w:hint="eastAsia" w:ascii="宋体" w:hAnsi="宋体" w:eastAsia="宋体" w:cs="宋体"/>
          <w:b/>
          <w:bCs/>
          <w:sz w:val="32"/>
          <w:szCs w:val="32"/>
        </w:rPr>
      </w:pPr>
      <w:r>
        <w:rPr>
          <w:rFonts w:hint="eastAsia" w:ascii="宋体" w:hAnsi="宋体" w:eastAsia="宋体" w:cs="宋体"/>
          <w:b/>
          <w:bCs/>
          <w:sz w:val="32"/>
          <w:szCs w:val="32"/>
        </w:rPr>
        <w:t>（二）支出预算总计</w:t>
      </w:r>
      <w:r>
        <w:rPr>
          <w:rFonts w:hint="eastAsia" w:ascii="宋体" w:hAnsi="宋体" w:eastAsia="宋体" w:cs="宋体"/>
          <w:b/>
          <w:bCs/>
          <w:sz w:val="32"/>
          <w:szCs w:val="32"/>
          <w:u w:val="single"/>
          <w:lang w:val="en-US" w:eastAsia="zh-CN"/>
        </w:rPr>
        <w:t>1291.62</w:t>
      </w:r>
      <w:r>
        <w:rPr>
          <w:rFonts w:hint="eastAsia" w:ascii="宋体" w:hAnsi="宋体" w:eastAsia="宋体" w:cs="宋体"/>
          <w:b/>
          <w:bCs/>
          <w:sz w:val="32"/>
          <w:szCs w:val="32"/>
        </w:rPr>
        <w:t>万元。包括：</w:t>
      </w:r>
    </w:p>
    <w:p>
      <w:pPr>
        <w:pStyle w:val="10"/>
        <w:pageBreakBefore w:val="0"/>
        <w:tabs>
          <w:tab w:val="left" w:pos="3792"/>
        </w:tabs>
        <w:kinsoku/>
        <w:wordWrap/>
        <w:overflowPunct/>
        <w:topLinePunct w:val="0"/>
        <w:bidi w:val="0"/>
        <w:spacing w:after="0"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1．本年支出合计</w:t>
      </w:r>
      <w:r>
        <w:rPr>
          <w:rFonts w:hint="eastAsia" w:ascii="宋体" w:hAnsi="宋体" w:eastAsia="宋体" w:cs="宋体"/>
          <w:b w:val="0"/>
          <w:bCs w:val="0"/>
          <w:sz w:val="32"/>
          <w:szCs w:val="32"/>
          <w:highlight w:val="none"/>
          <w:u w:val="single"/>
          <w:lang w:val="en-US" w:eastAsia="zh-CN"/>
        </w:rPr>
        <w:t>1291.62</w:t>
      </w:r>
      <w:r>
        <w:rPr>
          <w:rFonts w:hint="eastAsia" w:ascii="宋体" w:hAnsi="宋体" w:eastAsia="宋体" w:cs="宋体"/>
          <w:sz w:val="32"/>
          <w:szCs w:val="32"/>
          <w:highlight w:val="none"/>
        </w:rPr>
        <w:t>万元。</w:t>
      </w:r>
    </w:p>
    <w:p>
      <w:pPr>
        <w:pStyle w:val="10"/>
        <w:pageBreakBefore w:val="0"/>
        <w:tabs>
          <w:tab w:val="left" w:pos="1389"/>
          <w:tab w:val="left" w:pos="4911"/>
          <w:tab w:val="left" w:pos="5898"/>
        </w:tabs>
        <w:kinsoku/>
        <w:wordWrap/>
        <w:overflowPunct/>
        <w:topLinePunct w:val="0"/>
        <w:bidi w:val="0"/>
        <w:spacing w:after="0" w:line="360" w:lineRule="auto"/>
        <w:ind w:left="319" w:leftChars="152" w:firstLine="320" w:firstLineChars="100"/>
        <w:rPr>
          <w:rFonts w:hint="default" w:ascii="宋体" w:hAnsi="宋体" w:eastAsia="宋体" w:cs="宋体"/>
          <w:sz w:val="32"/>
          <w:szCs w:val="32"/>
          <w:u w:val="none"/>
          <w:lang w:val="en-US" w:eastAsia="zh-CN"/>
        </w:rPr>
      </w:pPr>
      <w:r>
        <w:rPr>
          <w:rFonts w:hint="eastAsia" w:ascii="宋体" w:hAnsi="宋体" w:eastAsia="宋体" w:cs="宋体"/>
          <w:sz w:val="32"/>
          <w:szCs w:val="32"/>
          <w:lang w:eastAsia="zh-CN"/>
        </w:rPr>
        <w:t>（</w:t>
      </w:r>
      <w:r>
        <w:rPr>
          <w:rFonts w:hint="eastAsia" w:ascii="宋体" w:hAnsi="宋体" w:eastAsia="宋体" w:cs="宋体"/>
          <w:sz w:val="32"/>
          <w:szCs w:val="32"/>
          <w:lang w:val="en-US" w:eastAsia="zh-CN"/>
        </w:rPr>
        <w:t>1</w:t>
      </w:r>
      <w:r>
        <w:rPr>
          <w:rFonts w:hint="eastAsia" w:ascii="宋体" w:hAnsi="宋体" w:eastAsia="宋体" w:cs="宋体"/>
          <w:sz w:val="32"/>
          <w:szCs w:val="32"/>
          <w:lang w:eastAsia="zh-CN"/>
        </w:rPr>
        <w:t>）教育支出</w:t>
      </w:r>
      <w:r>
        <w:rPr>
          <w:rFonts w:hint="eastAsia" w:ascii="宋体" w:hAnsi="宋体" w:eastAsia="宋体" w:cs="宋体"/>
          <w:sz w:val="32"/>
          <w:szCs w:val="32"/>
          <w:u w:val="single"/>
          <w:lang w:val="en-US" w:eastAsia="zh-CN"/>
        </w:rPr>
        <w:t>15</w:t>
      </w:r>
      <w:r>
        <w:rPr>
          <w:rFonts w:hint="eastAsia" w:ascii="宋体" w:hAnsi="宋体" w:eastAsia="宋体" w:cs="宋体"/>
          <w:sz w:val="32"/>
          <w:szCs w:val="32"/>
          <w:u w:val="none"/>
          <w:lang w:val="en-US" w:eastAsia="zh-CN"/>
        </w:rPr>
        <w:t>万元，</w:t>
      </w:r>
      <w:r>
        <w:rPr>
          <w:rFonts w:hint="eastAsia" w:ascii="宋体" w:hAnsi="宋体" w:eastAsia="宋体" w:cs="宋体"/>
          <w:sz w:val="32"/>
          <w:szCs w:val="32"/>
        </w:rPr>
        <w:t>与上年相比</w:t>
      </w:r>
      <w:r>
        <w:rPr>
          <w:rFonts w:hint="eastAsia" w:ascii="宋体" w:hAnsi="宋体" w:eastAsia="宋体" w:cs="宋体"/>
          <w:sz w:val="32"/>
          <w:szCs w:val="32"/>
          <w:lang w:val="en-US" w:eastAsia="zh-CN"/>
        </w:rPr>
        <w:t>增加</w:t>
      </w:r>
      <w:r>
        <w:rPr>
          <w:rFonts w:hint="eastAsia" w:ascii="宋体" w:hAnsi="宋体" w:eastAsia="宋体" w:cs="宋体"/>
          <w:sz w:val="32"/>
          <w:szCs w:val="32"/>
          <w:u w:val="single"/>
          <w:lang w:val="en-US" w:eastAsia="zh-CN"/>
        </w:rPr>
        <w:t>15</w:t>
      </w:r>
      <w:r>
        <w:rPr>
          <w:rFonts w:hint="eastAsia" w:ascii="宋体" w:hAnsi="宋体" w:eastAsia="宋体" w:cs="宋体"/>
          <w:sz w:val="32"/>
          <w:szCs w:val="32"/>
        </w:rPr>
        <w:t>万元，</w:t>
      </w:r>
      <w:r>
        <w:rPr>
          <w:rFonts w:hint="eastAsia" w:ascii="宋体" w:hAnsi="宋体" w:eastAsia="宋体" w:cs="宋体"/>
          <w:sz w:val="32"/>
          <w:szCs w:val="32"/>
          <w:lang w:val="en-US" w:eastAsia="zh-CN"/>
        </w:rPr>
        <w:t>增长</w:t>
      </w:r>
      <w:r>
        <w:rPr>
          <w:rFonts w:hint="eastAsia" w:ascii="宋体" w:hAnsi="宋体" w:eastAsia="宋体" w:cs="宋体"/>
          <w:sz w:val="32"/>
          <w:szCs w:val="32"/>
          <w:u w:val="single"/>
          <w:lang w:val="en-US" w:eastAsia="zh-CN"/>
        </w:rPr>
        <w:t>100</w:t>
      </w:r>
      <w:r>
        <w:rPr>
          <w:rFonts w:hint="eastAsia" w:ascii="宋体" w:hAnsi="宋体" w:eastAsia="宋体" w:cs="宋体"/>
          <w:sz w:val="32"/>
          <w:szCs w:val="32"/>
          <w:u w:val="single"/>
        </w:rPr>
        <w:t>%</w:t>
      </w:r>
      <w:r>
        <w:rPr>
          <w:rFonts w:hint="eastAsia" w:ascii="宋体" w:hAnsi="宋体" w:eastAsia="宋体" w:cs="宋体"/>
          <w:sz w:val="32"/>
          <w:szCs w:val="32"/>
        </w:rPr>
        <w:t>。主要原因为，</w:t>
      </w:r>
      <w:r>
        <w:rPr>
          <w:rFonts w:hint="eastAsia" w:ascii="宋体" w:hAnsi="宋体" w:eastAsia="宋体" w:cs="宋体"/>
          <w:sz w:val="32"/>
          <w:szCs w:val="32"/>
          <w:lang w:val="en-US" w:eastAsia="zh-CN"/>
        </w:rPr>
        <w:t>本年用单位事业收入进行职工培训支出。</w:t>
      </w:r>
    </w:p>
    <w:p>
      <w:pPr>
        <w:pStyle w:val="10"/>
        <w:pageBreakBefore w:val="0"/>
        <w:tabs>
          <w:tab w:val="left" w:pos="1389"/>
          <w:tab w:val="left" w:pos="4911"/>
          <w:tab w:val="left" w:pos="5898"/>
        </w:tabs>
        <w:kinsoku/>
        <w:wordWrap/>
        <w:overflowPunct/>
        <w:topLinePunct w:val="0"/>
        <w:bidi w:val="0"/>
        <w:spacing w:after="0" w:line="360" w:lineRule="auto"/>
        <w:ind w:left="319" w:leftChars="152" w:firstLine="320" w:firstLineChars="100"/>
        <w:rPr>
          <w:rFonts w:hint="default" w:ascii="宋体" w:hAnsi="宋体" w:eastAsia="宋体" w:cs="宋体"/>
          <w:sz w:val="32"/>
          <w:szCs w:val="32"/>
          <w:highlight w:val="none"/>
          <w:lang w:val="en-US"/>
        </w:rPr>
      </w:pPr>
      <w:r>
        <w:rPr>
          <w:rFonts w:hint="eastAsia" w:ascii="宋体" w:hAnsi="宋体" w:eastAsia="宋体" w:cs="宋体"/>
          <w:sz w:val="32"/>
          <w:szCs w:val="32"/>
        </w:rPr>
        <w:t>（</w:t>
      </w:r>
      <w:r>
        <w:rPr>
          <w:rFonts w:hint="eastAsia" w:ascii="宋体" w:hAnsi="宋体" w:eastAsia="宋体" w:cs="宋体"/>
          <w:sz w:val="32"/>
          <w:szCs w:val="32"/>
          <w:lang w:val="en-US" w:eastAsia="zh-CN"/>
        </w:rPr>
        <w:t>2</w:t>
      </w:r>
      <w:r>
        <w:rPr>
          <w:rFonts w:hint="eastAsia" w:ascii="宋体" w:hAnsi="宋体" w:eastAsia="宋体" w:cs="宋体"/>
          <w:sz w:val="32"/>
          <w:szCs w:val="32"/>
        </w:rPr>
        <w:t>）社会保障和就业支出</w:t>
      </w:r>
      <w:r>
        <w:rPr>
          <w:rFonts w:hint="eastAsia" w:ascii="宋体" w:hAnsi="宋体" w:eastAsia="宋体" w:cs="宋体"/>
          <w:sz w:val="32"/>
          <w:szCs w:val="32"/>
          <w:u w:val="single"/>
          <w:lang w:val="en-US" w:eastAsia="zh-CN"/>
        </w:rPr>
        <w:t>1103.4</w:t>
      </w:r>
      <w:r>
        <w:rPr>
          <w:rFonts w:hint="eastAsia" w:ascii="宋体" w:hAnsi="宋体" w:eastAsia="宋体" w:cs="宋体"/>
          <w:sz w:val="32"/>
          <w:szCs w:val="32"/>
        </w:rPr>
        <w:t>万元，主要用于人员支出、日常经费支出和项目支出。与上年相比</w:t>
      </w:r>
      <w:r>
        <w:rPr>
          <w:rFonts w:hint="eastAsia" w:ascii="宋体" w:hAnsi="宋体" w:eastAsia="宋体" w:cs="宋体"/>
          <w:sz w:val="32"/>
          <w:szCs w:val="32"/>
          <w:lang w:val="en-US" w:eastAsia="zh-CN"/>
        </w:rPr>
        <w:t>减少</w:t>
      </w:r>
      <w:r>
        <w:rPr>
          <w:rFonts w:hint="eastAsia" w:ascii="宋体" w:hAnsi="宋体" w:eastAsia="宋体" w:cs="宋体"/>
          <w:sz w:val="32"/>
          <w:szCs w:val="32"/>
          <w:u w:val="single"/>
          <w:lang w:val="en-US" w:eastAsia="zh-CN"/>
        </w:rPr>
        <w:t>1.9</w:t>
      </w:r>
      <w:r>
        <w:rPr>
          <w:rFonts w:hint="eastAsia" w:ascii="宋体" w:hAnsi="宋体" w:eastAsia="宋体" w:cs="宋体"/>
          <w:sz w:val="32"/>
          <w:szCs w:val="32"/>
        </w:rPr>
        <w:t>万元，</w:t>
      </w:r>
      <w:r>
        <w:rPr>
          <w:rFonts w:hint="eastAsia" w:ascii="宋体" w:hAnsi="宋体" w:eastAsia="宋体" w:cs="宋体"/>
          <w:sz w:val="32"/>
          <w:szCs w:val="32"/>
          <w:lang w:val="en-US" w:eastAsia="zh-CN"/>
        </w:rPr>
        <w:t>减少</w:t>
      </w:r>
      <w:r>
        <w:rPr>
          <w:rFonts w:hint="eastAsia" w:ascii="宋体" w:hAnsi="宋体" w:eastAsia="宋体" w:cs="宋体"/>
          <w:sz w:val="32"/>
          <w:szCs w:val="32"/>
          <w:u w:val="single"/>
          <w:lang w:val="en-US" w:eastAsia="zh-CN"/>
        </w:rPr>
        <w:t>0.17</w:t>
      </w:r>
      <w:r>
        <w:rPr>
          <w:rFonts w:hint="eastAsia" w:ascii="宋体" w:hAnsi="宋体" w:eastAsia="宋体" w:cs="宋体"/>
          <w:sz w:val="32"/>
          <w:szCs w:val="32"/>
          <w:u w:val="single"/>
        </w:rPr>
        <w:t>%</w:t>
      </w:r>
      <w:r>
        <w:rPr>
          <w:rFonts w:hint="eastAsia" w:ascii="宋体" w:hAnsi="宋体" w:eastAsia="宋体" w:cs="宋体"/>
          <w:sz w:val="32"/>
          <w:szCs w:val="32"/>
        </w:rPr>
        <w:t>。主要原因为，</w:t>
      </w:r>
      <w:r>
        <w:rPr>
          <w:rFonts w:hint="eastAsia" w:ascii="宋体" w:hAnsi="宋体" w:eastAsia="宋体" w:cs="宋体"/>
          <w:sz w:val="32"/>
          <w:szCs w:val="32"/>
          <w:lang w:val="en-US" w:eastAsia="zh-CN"/>
        </w:rPr>
        <w:t>本年在职职工工资预算减少导致比上年减少。</w:t>
      </w:r>
    </w:p>
    <w:p>
      <w:pPr>
        <w:pStyle w:val="10"/>
        <w:pageBreakBefore w:val="0"/>
        <w:tabs>
          <w:tab w:val="left" w:pos="3792"/>
        </w:tabs>
        <w:kinsoku/>
        <w:wordWrap/>
        <w:overflowPunct/>
        <w:topLinePunct w:val="0"/>
        <w:bidi w:val="0"/>
        <w:spacing w:after="0" w:line="360" w:lineRule="auto"/>
        <w:ind w:firstLine="640" w:firstLineChars="200"/>
        <w:rPr>
          <w:rFonts w:hint="default" w:ascii="宋体" w:hAnsi="宋体" w:eastAsia="宋体" w:cs="宋体"/>
          <w:sz w:val="32"/>
          <w:szCs w:val="32"/>
          <w:lang w:val="en-US"/>
        </w:rPr>
      </w:pPr>
      <w:r>
        <w:rPr>
          <w:rFonts w:hint="eastAsia" w:ascii="宋体" w:hAnsi="宋体" w:eastAsia="宋体" w:cs="宋体"/>
          <w:sz w:val="32"/>
          <w:szCs w:val="32"/>
        </w:rPr>
        <w:t>（</w:t>
      </w:r>
      <w:r>
        <w:rPr>
          <w:rFonts w:hint="eastAsia" w:ascii="宋体" w:hAnsi="宋体" w:eastAsia="宋体" w:cs="宋体"/>
          <w:sz w:val="32"/>
          <w:szCs w:val="32"/>
          <w:lang w:val="en-US" w:eastAsia="zh-CN"/>
        </w:rPr>
        <w:t>3</w:t>
      </w:r>
      <w:r>
        <w:rPr>
          <w:rFonts w:hint="eastAsia" w:ascii="宋体" w:hAnsi="宋体" w:eastAsia="宋体" w:cs="宋体"/>
          <w:sz w:val="32"/>
          <w:szCs w:val="32"/>
        </w:rPr>
        <w:t>）卫生健康支出支出</w:t>
      </w:r>
      <w:r>
        <w:rPr>
          <w:rFonts w:hint="eastAsia" w:ascii="宋体" w:hAnsi="宋体" w:eastAsia="宋体" w:cs="宋体"/>
          <w:sz w:val="32"/>
          <w:szCs w:val="32"/>
          <w:u w:val="single"/>
          <w:lang w:val="en-US" w:eastAsia="zh-CN"/>
        </w:rPr>
        <w:t>10.2</w:t>
      </w:r>
      <w:r>
        <w:rPr>
          <w:rFonts w:hint="eastAsia" w:ascii="宋体" w:hAnsi="宋体" w:eastAsia="宋体" w:cs="宋体"/>
          <w:sz w:val="32"/>
          <w:szCs w:val="32"/>
        </w:rPr>
        <w:t>万元，主要用于在职职工交纳医保医疗费用。与上年相比</w:t>
      </w:r>
      <w:r>
        <w:rPr>
          <w:rFonts w:hint="eastAsia" w:ascii="宋体" w:hAnsi="宋体" w:eastAsia="宋体" w:cs="宋体"/>
          <w:sz w:val="32"/>
          <w:szCs w:val="32"/>
          <w:lang w:val="en-US" w:eastAsia="zh-CN"/>
        </w:rPr>
        <w:t>减少</w:t>
      </w:r>
      <w:r>
        <w:rPr>
          <w:rFonts w:hint="eastAsia" w:ascii="宋体" w:hAnsi="宋体" w:eastAsia="宋体" w:cs="宋体"/>
          <w:sz w:val="32"/>
          <w:szCs w:val="32"/>
          <w:u w:val="single"/>
          <w:lang w:val="en-US" w:eastAsia="zh-CN"/>
        </w:rPr>
        <w:t>8.5</w:t>
      </w:r>
      <w:r>
        <w:rPr>
          <w:rFonts w:hint="eastAsia" w:ascii="宋体" w:hAnsi="宋体" w:eastAsia="宋体" w:cs="宋体"/>
          <w:sz w:val="32"/>
          <w:szCs w:val="32"/>
        </w:rPr>
        <w:t>万元，</w:t>
      </w:r>
      <w:r>
        <w:rPr>
          <w:rFonts w:hint="eastAsia" w:ascii="宋体" w:hAnsi="宋体" w:eastAsia="宋体" w:cs="宋体"/>
          <w:sz w:val="32"/>
          <w:szCs w:val="32"/>
          <w:lang w:val="en-US" w:eastAsia="zh-CN"/>
        </w:rPr>
        <w:t>减少</w:t>
      </w:r>
      <w:r>
        <w:rPr>
          <w:rFonts w:hint="eastAsia" w:ascii="宋体" w:hAnsi="宋体" w:eastAsia="宋体" w:cs="宋体"/>
          <w:sz w:val="32"/>
          <w:szCs w:val="32"/>
          <w:u w:val="single"/>
          <w:lang w:val="en-US" w:eastAsia="zh-CN"/>
        </w:rPr>
        <w:t>45.45</w:t>
      </w:r>
      <w:r>
        <w:rPr>
          <w:rFonts w:hint="eastAsia" w:ascii="宋体" w:hAnsi="宋体" w:eastAsia="宋体" w:cs="宋体"/>
          <w:sz w:val="32"/>
          <w:szCs w:val="32"/>
          <w:u w:val="single"/>
        </w:rPr>
        <w:t>%</w:t>
      </w:r>
      <w:r>
        <w:rPr>
          <w:rFonts w:hint="eastAsia" w:ascii="宋体" w:hAnsi="宋体" w:eastAsia="宋体" w:cs="宋体"/>
          <w:sz w:val="32"/>
          <w:szCs w:val="32"/>
        </w:rPr>
        <w:t>。主要原因</w:t>
      </w:r>
      <w:r>
        <w:rPr>
          <w:rFonts w:hint="eastAsia" w:ascii="宋体" w:hAnsi="宋体" w:eastAsia="宋体" w:cs="宋体"/>
          <w:sz w:val="32"/>
          <w:szCs w:val="32"/>
          <w:lang w:val="en-US" w:eastAsia="zh-CN"/>
        </w:rPr>
        <w:t>为本年职工工资缴费基数减少，</w:t>
      </w:r>
      <w:r>
        <w:rPr>
          <w:rFonts w:hint="eastAsia" w:ascii="宋体" w:hAnsi="宋体" w:eastAsia="宋体" w:cs="宋体"/>
          <w:sz w:val="32"/>
          <w:szCs w:val="32"/>
        </w:rPr>
        <w:t>卫生健康支出</w:t>
      </w:r>
      <w:r>
        <w:rPr>
          <w:rFonts w:hint="eastAsia" w:ascii="宋体" w:hAnsi="宋体" w:eastAsia="宋体" w:cs="宋体"/>
          <w:sz w:val="32"/>
          <w:szCs w:val="32"/>
          <w:lang w:val="en-US" w:eastAsia="zh-CN"/>
        </w:rPr>
        <w:t>减少。</w:t>
      </w:r>
    </w:p>
    <w:p>
      <w:pPr>
        <w:pStyle w:val="10"/>
        <w:pageBreakBefore w:val="0"/>
        <w:tabs>
          <w:tab w:val="left" w:pos="3792"/>
        </w:tabs>
        <w:kinsoku/>
        <w:wordWrap/>
        <w:overflowPunct/>
        <w:topLinePunct w:val="0"/>
        <w:bidi w:val="0"/>
        <w:spacing w:after="0" w:line="360" w:lineRule="auto"/>
        <w:ind w:firstLine="640" w:firstLineChars="200"/>
        <w:rPr>
          <w:rFonts w:hint="eastAsia" w:ascii="宋体" w:hAnsi="宋体" w:eastAsia="宋体" w:cs="宋体"/>
          <w:sz w:val="32"/>
          <w:szCs w:val="32"/>
          <w:lang w:eastAsia="zh-CN"/>
        </w:rPr>
      </w:pPr>
      <w:r>
        <w:rPr>
          <w:rFonts w:hint="eastAsia" w:ascii="宋体" w:hAnsi="宋体" w:eastAsia="宋体" w:cs="宋体"/>
          <w:sz w:val="32"/>
          <w:szCs w:val="32"/>
        </w:rPr>
        <w:t>（</w:t>
      </w:r>
      <w:r>
        <w:rPr>
          <w:rFonts w:hint="eastAsia" w:ascii="宋体" w:hAnsi="宋体" w:eastAsia="宋体" w:cs="宋体"/>
          <w:sz w:val="32"/>
          <w:szCs w:val="32"/>
          <w:lang w:val="en-US" w:eastAsia="zh-CN"/>
        </w:rPr>
        <w:t>4</w:t>
      </w:r>
      <w:r>
        <w:rPr>
          <w:rFonts w:hint="eastAsia" w:ascii="宋体" w:hAnsi="宋体" w:eastAsia="宋体" w:cs="宋体"/>
          <w:sz w:val="32"/>
          <w:szCs w:val="32"/>
        </w:rPr>
        <w:t>）住房保障支出</w:t>
      </w:r>
      <w:r>
        <w:rPr>
          <w:rFonts w:hint="eastAsia" w:ascii="宋体" w:hAnsi="宋体" w:eastAsia="宋体" w:cs="宋体"/>
          <w:sz w:val="32"/>
          <w:szCs w:val="32"/>
          <w:u w:val="single"/>
          <w:lang w:val="en-US" w:eastAsia="zh-CN"/>
        </w:rPr>
        <w:t>22.46</w:t>
      </w:r>
      <w:r>
        <w:rPr>
          <w:rFonts w:hint="eastAsia" w:ascii="宋体" w:hAnsi="宋体" w:eastAsia="宋体" w:cs="宋体"/>
          <w:sz w:val="32"/>
          <w:szCs w:val="32"/>
        </w:rPr>
        <w:t>万元，主要用于在职职工交纳住房公积金</w:t>
      </w:r>
      <w:r>
        <w:rPr>
          <w:rFonts w:hint="eastAsia" w:ascii="宋体" w:hAnsi="宋体" w:eastAsia="宋体" w:cs="宋体"/>
          <w:sz w:val="32"/>
          <w:szCs w:val="32"/>
          <w:lang w:val="en-US" w:eastAsia="zh-CN"/>
        </w:rPr>
        <w:t>支出和新职工购房补贴支出</w:t>
      </w:r>
      <w:r>
        <w:rPr>
          <w:rFonts w:hint="eastAsia" w:ascii="宋体" w:hAnsi="宋体" w:eastAsia="宋体" w:cs="宋体"/>
          <w:sz w:val="32"/>
          <w:szCs w:val="32"/>
        </w:rPr>
        <w:t>。与上年相比</w:t>
      </w:r>
      <w:r>
        <w:rPr>
          <w:rFonts w:hint="eastAsia" w:ascii="宋体" w:hAnsi="宋体" w:eastAsia="宋体" w:cs="宋体"/>
          <w:sz w:val="32"/>
          <w:szCs w:val="32"/>
          <w:lang w:val="en-US" w:eastAsia="zh-CN"/>
        </w:rPr>
        <w:t>减少</w:t>
      </w:r>
      <w:r>
        <w:rPr>
          <w:rFonts w:hint="eastAsia" w:ascii="宋体" w:hAnsi="宋体" w:eastAsia="宋体" w:cs="宋体"/>
          <w:sz w:val="32"/>
          <w:szCs w:val="32"/>
          <w:u w:val="single"/>
          <w:lang w:val="en-US" w:eastAsia="zh-CN"/>
        </w:rPr>
        <w:t>2.8</w:t>
      </w:r>
      <w:r>
        <w:rPr>
          <w:rFonts w:hint="eastAsia" w:ascii="宋体" w:hAnsi="宋体" w:eastAsia="宋体" w:cs="宋体"/>
          <w:sz w:val="32"/>
          <w:szCs w:val="32"/>
        </w:rPr>
        <w:t>万元，</w:t>
      </w:r>
      <w:r>
        <w:rPr>
          <w:rFonts w:hint="eastAsia" w:ascii="宋体" w:hAnsi="宋体" w:eastAsia="宋体" w:cs="宋体"/>
          <w:sz w:val="32"/>
          <w:szCs w:val="32"/>
          <w:lang w:val="en-US" w:eastAsia="zh-CN"/>
        </w:rPr>
        <w:t>减少</w:t>
      </w:r>
      <w:r>
        <w:rPr>
          <w:rFonts w:hint="eastAsia" w:ascii="宋体" w:hAnsi="宋体" w:eastAsia="宋体" w:cs="宋体"/>
          <w:sz w:val="32"/>
          <w:szCs w:val="32"/>
          <w:u w:val="single"/>
          <w:lang w:val="en-US" w:eastAsia="zh-CN"/>
        </w:rPr>
        <w:t>11.08</w:t>
      </w:r>
      <w:r>
        <w:rPr>
          <w:rFonts w:hint="eastAsia" w:ascii="宋体" w:hAnsi="宋体" w:eastAsia="宋体" w:cs="宋体"/>
          <w:sz w:val="32"/>
          <w:szCs w:val="32"/>
          <w:u w:val="single"/>
        </w:rPr>
        <w:t>%</w:t>
      </w:r>
      <w:r>
        <w:rPr>
          <w:rFonts w:hint="eastAsia" w:ascii="宋体" w:hAnsi="宋体" w:eastAsia="宋体" w:cs="宋体"/>
          <w:sz w:val="32"/>
          <w:szCs w:val="32"/>
        </w:rPr>
        <w:t>。主要原因</w:t>
      </w:r>
      <w:r>
        <w:rPr>
          <w:rFonts w:hint="eastAsia" w:ascii="宋体" w:hAnsi="宋体" w:eastAsia="宋体" w:cs="宋体"/>
          <w:sz w:val="32"/>
          <w:szCs w:val="32"/>
          <w:lang w:val="en-US" w:eastAsia="zh-CN"/>
        </w:rPr>
        <w:t>为职工工资缴费基数减少，</w:t>
      </w:r>
      <w:r>
        <w:rPr>
          <w:rFonts w:hint="eastAsia" w:ascii="宋体" w:hAnsi="宋体" w:eastAsia="宋体" w:cs="宋体"/>
          <w:sz w:val="32"/>
          <w:szCs w:val="32"/>
        </w:rPr>
        <w:t>职工交纳住房公积金</w:t>
      </w:r>
      <w:r>
        <w:rPr>
          <w:rFonts w:hint="eastAsia" w:ascii="宋体" w:hAnsi="宋体" w:eastAsia="宋体" w:cs="宋体"/>
          <w:sz w:val="32"/>
          <w:szCs w:val="32"/>
          <w:lang w:val="en-US" w:eastAsia="zh-CN"/>
        </w:rPr>
        <w:t>减少，本年新职工购房补贴由按工资比例发放改为定额发放，导致购房补贴支出减少</w:t>
      </w:r>
      <w:r>
        <w:rPr>
          <w:rFonts w:hint="eastAsia" w:ascii="宋体" w:hAnsi="宋体" w:eastAsia="宋体" w:cs="宋体"/>
          <w:sz w:val="32"/>
          <w:szCs w:val="32"/>
        </w:rPr>
        <w:t>。</w:t>
      </w:r>
    </w:p>
    <w:p>
      <w:pPr>
        <w:pStyle w:val="10"/>
        <w:pageBreakBefore w:val="0"/>
        <w:tabs>
          <w:tab w:val="left" w:pos="3792"/>
        </w:tabs>
        <w:kinsoku/>
        <w:wordWrap/>
        <w:overflowPunct/>
        <w:topLinePunct w:val="0"/>
        <w:bidi w:val="0"/>
        <w:spacing w:after="0"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w:t>
      </w:r>
      <w:r>
        <w:rPr>
          <w:rFonts w:hint="eastAsia" w:ascii="宋体" w:hAnsi="宋体" w:eastAsia="宋体" w:cs="宋体"/>
          <w:sz w:val="32"/>
          <w:szCs w:val="32"/>
          <w:lang w:val="en-US" w:eastAsia="zh-CN"/>
        </w:rPr>
        <w:t>5</w:t>
      </w:r>
      <w:r>
        <w:rPr>
          <w:rFonts w:hint="eastAsia" w:ascii="宋体" w:hAnsi="宋体" w:eastAsia="宋体" w:cs="宋体"/>
          <w:sz w:val="32"/>
          <w:szCs w:val="32"/>
        </w:rPr>
        <w:t>）其他支出</w:t>
      </w:r>
      <w:r>
        <w:rPr>
          <w:rFonts w:hint="eastAsia" w:ascii="宋体" w:hAnsi="宋体" w:eastAsia="宋体" w:cs="宋体"/>
          <w:sz w:val="32"/>
          <w:szCs w:val="32"/>
          <w:u w:val="single"/>
          <w:lang w:val="en-US" w:eastAsia="zh-CN"/>
        </w:rPr>
        <w:t>140.56</w:t>
      </w:r>
      <w:r>
        <w:rPr>
          <w:rFonts w:hint="eastAsia" w:ascii="宋体" w:hAnsi="宋体" w:eastAsia="宋体" w:cs="宋体"/>
          <w:sz w:val="32"/>
          <w:szCs w:val="32"/>
        </w:rPr>
        <w:t>万元，用于</w:t>
      </w:r>
      <w:r>
        <w:rPr>
          <w:rFonts w:hint="eastAsia" w:ascii="宋体" w:hAnsi="宋体" w:eastAsia="宋体" w:cs="宋体"/>
          <w:sz w:val="32"/>
          <w:szCs w:val="32"/>
          <w:lang w:val="en-US" w:eastAsia="zh-CN"/>
        </w:rPr>
        <w:t>保障</w:t>
      </w:r>
      <w:r>
        <w:rPr>
          <w:rFonts w:hint="eastAsia" w:ascii="宋体" w:hAnsi="宋体" w:eastAsia="宋体" w:cs="宋体"/>
          <w:sz w:val="32"/>
          <w:szCs w:val="32"/>
        </w:rPr>
        <w:t>单位</w:t>
      </w:r>
      <w:r>
        <w:rPr>
          <w:rFonts w:hint="eastAsia" w:ascii="宋体" w:hAnsi="宋体" w:eastAsia="宋体" w:cs="宋体"/>
          <w:sz w:val="32"/>
          <w:szCs w:val="32"/>
          <w:lang w:val="en-US" w:eastAsia="zh-CN"/>
        </w:rPr>
        <w:t>消防改造资金、</w:t>
      </w:r>
      <w:r>
        <w:rPr>
          <w:rFonts w:hint="eastAsia" w:ascii="宋体" w:hAnsi="宋体" w:eastAsia="宋体" w:cs="宋体"/>
          <w:sz w:val="32"/>
          <w:szCs w:val="32"/>
        </w:rPr>
        <w:t>购买</w:t>
      </w:r>
      <w:r>
        <w:rPr>
          <w:rFonts w:hint="eastAsia" w:ascii="宋体" w:hAnsi="宋体" w:eastAsia="宋体" w:cs="宋体"/>
          <w:sz w:val="32"/>
          <w:szCs w:val="32"/>
          <w:lang w:val="en-US" w:eastAsia="zh-CN"/>
        </w:rPr>
        <w:t>单位适老化家具、养老机构责任保险</w:t>
      </w:r>
      <w:r>
        <w:rPr>
          <w:rFonts w:hint="eastAsia" w:ascii="宋体" w:hAnsi="宋体" w:eastAsia="宋体" w:cs="宋体"/>
          <w:sz w:val="32"/>
          <w:szCs w:val="32"/>
        </w:rPr>
        <w:t>费用。与上年相比</w:t>
      </w:r>
      <w:r>
        <w:rPr>
          <w:rFonts w:hint="eastAsia" w:ascii="宋体" w:hAnsi="宋体" w:eastAsia="宋体" w:cs="宋体"/>
          <w:sz w:val="32"/>
          <w:szCs w:val="32"/>
          <w:lang w:val="en-US" w:eastAsia="zh-CN"/>
        </w:rPr>
        <w:t>减少</w:t>
      </w:r>
      <w:r>
        <w:rPr>
          <w:rFonts w:hint="eastAsia" w:ascii="宋体" w:hAnsi="宋体" w:eastAsia="宋体" w:cs="宋体"/>
          <w:sz w:val="32"/>
          <w:szCs w:val="32"/>
          <w:u w:val="single"/>
          <w:lang w:val="en-US" w:eastAsia="zh-CN"/>
        </w:rPr>
        <w:t>27.45</w:t>
      </w:r>
      <w:r>
        <w:rPr>
          <w:rFonts w:hint="eastAsia" w:ascii="宋体" w:hAnsi="宋体" w:eastAsia="宋体" w:cs="宋体"/>
          <w:sz w:val="32"/>
          <w:szCs w:val="32"/>
        </w:rPr>
        <w:t>万元，</w:t>
      </w:r>
      <w:r>
        <w:rPr>
          <w:rFonts w:hint="eastAsia" w:ascii="宋体" w:hAnsi="宋体" w:eastAsia="宋体" w:cs="宋体"/>
          <w:sz w:val="32"/>
          <w:szCs w:val="32"/>
          <w:lang w:val="en-US" w:eastAsia="zh-CN"/>
        </w:rPr>
        <w:t>减少</w:t>
      </w:r>
      <w:r>
        <w:rPr>
          <w:rFonts w:hint="eastAsia" w:ascii="宋体" w:hAnsi="宋体" w:eastAsia="宋体" w:cs="宋体"/>
          <w:sz w:val="32"/>
          <w:szCs w:val="32"/>
          <w:u w:val="single"/>
          <w:lang w:val="en-US" w:eastAsia="zh-CN"/>
        </w:rPr>
        <w:t>16.38</w:t>
      </w:r>
      <w:r>
        <w:rPr>
          <w:rFonts w:hint="eastAsia" w:ascii="宋体" w:hAnsi="宋体" w:eastAsia="宋体" w:cs="宋体"/>
          <w:sz w:val="32"/>
          <w:szCs w:val="32"/>
          <w:u w:val="single"/>
        </w:rPr>
        <w:t>%</w:t>
      </w:r>
      <w:r>
        <w:rPr>
          <w:rFonts w:hint="eastAsia" w:ascii="宋体" w:hAnsi="宋体" w:eastAsia="宋体" w:cs="宋体"/>
          <w:sz w:val="32"/>
          <w:szCs w:val="32"/>
        </w:rPr>
        <w:t>。主要原为</w:t>
      </w:r>
      <w:r>
        <w:rPr>
          <w:rFonts w:hint="eastAsia" w:ascii="宋体" w:hAnsi="宋体" w:eastAsia="宋体" w:cs="宋体"/>
          <w:sz w:val="32"/>
          <w:szCs w:val="32"/>
          <w:lang w:val="en-US" w:eastAsia="zh-CN"/>
        </w:rPr>
        <w:t>上年</w:t>
      </w:r>
      <w:r>
        <w:rPr>
          <w:rFonts w:hint="eastAsia" w:ascii="宋体" w:hAnsi="宋体" w:eastAsia="宋体" w:cs="宋体"/>
          <w:color w:val="auto"/>
          <w:sz w:val="32"/>
          <w:szCs w:val="32"/>
          <w:highlight w:val="none"/>
          <w:lang w:val="en-US" w:eastAsia="zh-CN"/>
        </w:rPr>
        <w:t>有购买家具和消防改造资金两笔资金数额较大的政府性基金在上年支出，相比本年资金数额较低</w:t>
      </w:r>
      <w:r>
        <w:rPr>
          <w:rFonts w:hint="eastAsia" w:ascii="宋体" w:hAnsi="宋体" w:eastAsia="宋体" w:cs="宋体"/>
          <w:sz w:val="32"/>
          <w:szCs w:val="32"/>
          <w:highlight w:val="none"/>
        </w:rPr>
        <w:t>。</w:t>
      </w:r>
    </w:p>
    <w:p>
      <w:pPr>
        <w:pStyle w:val="10"/>
        <w:pageBreakBefore w:val="0"/>
        <w:tabs>
          <w:tab w:val="left" w:pos="1389"/>
          <w:tab w:val="left" w:pos="4911"/>
          <w:tab w:val="left" w:pos="5991"/>
        </w:tabs>
        <w:kinsoku/>
        <w:wordWrap/>
        <w:overflowPunct/>
        <w:topLinePunct w:val="0"/>
        <w:bidi w:val="0"/>
        <w:spacing w:after="0"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2．年终结转结余为</w:t>
      </w:r>
      <w:r>
        <w:rPr>
          <w:rFonts w:hint="eastAsia" w:ascii="宋体" w:hAnsi="宋体" w:eastAsia="宋体" w:cs="宋体"/>
          <w:sz w:val="32"/>
          <w:szCs w:val="32"/>
          <w:u w:val="single"/>
          <w:lang w:val="en-US" w:eastAsia="zh-CN"/>
        </w:rPr>
        <w:t>0</w:t>
      </w:r>
      <w:r>
        <w:rPr>
          <w:rFonts w:hint="eastAsia" w:ascii="宋体" w:hAnsi="宋体" w:eastAsia="宋体" w:cs="宋体"/>
          <w:sz w:val="32"/>
          <w:szCs w:val="32"/>
        </w:rPr>
        <w:t>万元，主要原因是</w:t>
      </w:r>
      <w:r>
        <w:rPr>
          <w:rFonts w:hint="eastAsia" w:ascii="宋体" w:hAnsi="宋体" w:eastAsia="宋体" w:cs="宋体"/>
          <w:sz w:val="32"/>
          <w:szCs w:val="32"/>
          <w:lang w:val="en-US" w:eastAsia="zh-CN"/>
        </w:rPr>
        <w:t>本年预算无结转结余资金</w:t>
      </w:r>
      <w:r>
        <w:rPr>
          <w:rFonts w:hint="eastAsia" w:ascii="宋体" w:hAnsi="宋体" w:eastAsia="宋体" w:cs="宋体"/>
          <w:sz w:val="32"/>
          <w:szCs w:val="32"/>
          <w:highlight w:val="none"/>
          <w:lang w:val="en-US" w:eastAsia="zh-CN"/>
        </w:rPr>
        <w:t>。</w:t>
      </w:r>
    </w:p>
    <w:p>
      <w:pPr>
        <w:pageBreakBefore w:val="0"/>
        <w:kinsoku/>
        <w:wordWrap/>
        <w:overflowPunct/>
        <w:topLinePunct w:val="0"/>
        <w:bidi w:val="0"/>
        <w:spacing w:line="360" w:lineRule="auto"/>
        <w:ind w:firstLine="643" w:firstLineChars="200"/>
        <w:outlineLvl w:val="0"/>
        <w:rPr>
          <w:rFonts w:hint="eastAsia" w:ascii="宋体" w:hAnsi="宋体" w:eastAsia="宋体" w:cs="宋体"/>
          <w:b/>
          <w:bCs/>
          <w:sz w:val="32"/>
          <w:szCs w:val="36"/>
        </w:rPr>
      </w:pPr>
      <w:r>
        <w:rPr>
          <w:rFonts w:hint="eastAsia" w:ascii="宋体" w:hAnsi="宋体" w:eastAsia="宋体" w:cs="宋体"/>
          <w:b/>
          <w:bCs/>
          <w:sz w:val="32"/>
          <w:szCs w:val="36"/>
        </w:rPr>
        <w:t>二、收入预算情况说明</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u w:val="single"/>
          <w:lang w:val="en-US" w:eastAsia="zh-CN"/>
        </w:rPr>
        <w:t>锡林郭勒盟社会福利院</w:t>
      </w:r>
      <w:r>
        <w:rPr>
          <w:rFonts w:hint="eastAsia" w:ascii="宋体" w:hAnsi="宋体" w:eastAsia="宋体" w:cs="宋体"/>
          <w:sz w:val="32"/>
          <w:szCs w:val="32"/>
          <w:highlight w:val="none"/>
          <w:lang w:val="en-US" w:eastAsia="zh-CN"/>
        </w:rPr>
        <w:t>2025</w:t>
      </w:r>
      <w:r>
        <w:rPr>
          <w:rFonts w:hint="eastAsia" w:ascii="宋体" w:hAnsi="宋体" w:eastAsia="宋体" w:cs="宋体"/>
          <w:sz w:val="32"/>
          <w:szCs w:val="32"/>
          <w:highlight w:val="none"/>
        </w:rPr>
        <w:t>年收入预算合计</w:t>
      </w:r>
      <w:r>
        <w:rPr>
          <w:rFonts w:hint="eastAsia" w:ascii="宋体" w:hAnsi="宋体" w:eastAsia="宋体" w:cs="宋体"/>
          <w:sz w:val="32"/>
          <w:szCs w:val="32"/>
          <w:highlight w:val="none"/>
          <w:u w:val="single"/>
          <w:lang w:val="en-US" w:eastAsia="zh-CN"/>
        </w:rPr>
        <w:t>1291.62</w:t>
      </w:r>
      <w:r>
        <w:rPr>
          <w:rFonts w:hint="eastAsia" w:ascii="宋体" w:hAnsi="宋体" w:eastAsia="宋体" w:cs="宋体"/>
          <w:sz w:val="32"/>
          <w:szCs w:val="32"/>
          <w:highlight w:val="none"/>
        </w:rPr>
        <w:t>万元，包括本年收入</w:t>
      </w:r>
      <w:r>
        <w:rPr>
          <w:rFonts w:hint="eastAsia" w:ascii="宋体" w:hAnsi="宋体" w:eastAsia="宋体" w:cs="宋体"/>
          <w:sz w:val="32"/>
          <w:szCs w:val="32"/>
          <w:highlight w:val="none"/>
          <w:u w:val="single"/>
          <w:lang w:val="en-US" w:eastAsia="zh-CN"/>
        </w:rPr>
        <w:t>1204.38</w:t>
      </w:r>
      <w:r>
        <w:rPr>
          <w:rFonts w:hint="eastAsia" w:ascii="宋体" w:hAnsi="宋体" w:eastAsia="宋体" w:cs="宋体"/>
          <w:sz w:val="32"/>
          <w:szCs w:val="32"/>
          <w:highlight w:val="none"/>
        </w:rPr>
        <w:t>万元，上年结转结余</w:t>
      </w:r>
      <w:r>
        <w:rPr>
          <w:rFonts w:hint="eastAsia" w:ascii="宋体" w:hAnsi="宋体" w:eastAsia="宋体" w:cs="宋体"/>
          <w:sz w:val="32"/>
          <w:szCs w:val="32"/>
          <w:highlight w:val="none"/>
          <w:u w:val="single"/>
          <w:lang w:val="en-US" w:eastAsia="zh-CN"/>
        </w:rPr>
        <w:t>87.25</w:t>
      </w:r>
      <w:r>
        <w:rPr>
          <w:rFonts w:hint="eastAsia" w:ascii="宋体" w:hAnsi="宋体" w:eastAsia="宋体" w:cs="宋体"/>
          <w:sz w:val="32"/>
          <w:szCs w:val="32"/>
          <w:highlight w:val="none"/>
        </w:rPr>
        <w:t>万元。其中：</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本年一般公共预算收入</w:t>
      </w:r>
      <w:r>
        <w:rPr>
          <w:rFonts w:hint="eastAsia" w:ascii="宋体" w:hAnsi="宋体" w:eastAsia="宋体" w:cs="宋体"/>
          <w:sz w:val="32"/>
          <w:szCs w:val="32"/>
          <w:highlight w:val="none"/>
          <w:u w:val="single"/>
          <w:lang w:val="en-US" w:eastAsia="zh-CN"/>
        </w:rPr>
        <w:t>664.38</w:t>
      </w:r>
      <w:r>
        <w:rPr>
          <w:rFonts w:hint="eastAsia" w:ascii="宋体" w:hAnsi="宋体" w:eastAsia="宋体" w:cs="宋体"/>
          <w:sz w:val="32"/>
          <w:szCs w:val="32"/>
          <w:highlight w:val="none"/>
          <w:lang w:val="en-US" w:eastAsia="zh-CN"/>
        </w:rPr>
        <w:t>万元</w:t>
      </w:r>
      <w:r>
        <w:rPr>
          <w:rFonts w:hint="eastAsia" w:ascii="宋体" w:hAnsi="宋体" w:eastAsia="宋体" w:cs="宋体"/>
          <w:sz w:val="32"/>
          <w:szCs w:val="32"/>
          <w:highlight w:val="none"/>
        </w:rPr>
        <w:t>，占</w:t>
      </w:r>
      <w:r>
        <w:rPr>
          <w:rFonts w:hint="eastAsia" w:ascii="宋体" w:hAnsi="宋体" w:eastAsia="宋体" w:cs="宋体"/>
          <w:sz w:val="32"/>
          <w:szCs w:val="32"/>
          <w:highlight w:val="none"/>
          <w:u w:val="single"/>
          <w:lang w:val="en-US" w:eastAsia="zh-CN"/>
        </w:rPr>
        <w:t>51.44</w:t>
      </w:r>
      <w:r>
        <w:rPr>
          <w:rFonts w:hint="eastAsia" w:ascii="宋体" w:hAnsi="宋体" w:eastAsia="宋体" w:cs="宋体"/>
          <w:sz w:val="32"/>
          <w:szCs w:val="32"/>
          <w:highlight w:val="none"/>
        </w:rPr>
        <w:t>%；</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本年政府性基金预算收入</w:t>
      </w:r>
      <w:r>
        <w:rPr>
          <w:rFonts w:hint="eastAsia" w:ascii="宋体" w:hAnsi="宋体" w:eastAsia="宋体" w:cs="宋体"/>
          <w:sz w:val="32"/>
          <w:szCs w:val="32"/>
          <w:highlight w:val="none"/>
          <w:u w:val="single"/>
          <w:lang w:val="en-US" w:eastAsia="zh-CN"/>
        </w:rPr>
        <w:t>95</w:t>
      </w:r>
      <w:r>
        <w:rPr>
          <w:rFonts w:hint="eastAsia" w:ascii="宋体" w:hAnsi="宋体" w:eastAsia="宋体" w:cs="宋体"/>
          <w:sz w:val="32"/>
          <w:szCs w:val="32"/>
          <w:highlight w:val="none"/>
        </w:rPr>
        <w:t>万元，占</w:t>
      </w:r>
      <w:r>
        <w:rPr>
          <w:rFonts w:hint="eastAsia" w:ascii="宋体" w:hAnsi="宋体" w:eastAsia="宋体" w:cs="宋体"/>
          <w:sz w:val="32"/>
          <w:szCs w:val="32"/>
          <w:highlight w:val="none"/>
          <w:u w:val="single"/>
          <w:lang w:val="en-US" w:eastAsia="zh-CN"/>
        </w:rPr>
        <w:t>7.4</w:t>
      </w:r>
      <w:r>
        <w:rPr>
          <w:rFonts w:hint="eastAsia" w:ascii="宋体" w:hAnsi="宋体" w:eastAsia="宋体" w:cs="宋体"/>
          <w:sz w:val="32"/>
          <w:szCs w:val="32"/>
          <w:highlight w:val="none"/>
        </w:rPr>
        <w:t>%；</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本年国有资本经营预算收入</w:t>
      </w:r>
      <w:r>
        <w:rPr>
          <w:rFonts w:hint="eastAsia" w:ascii="宋体" w:hAnsi="宋体" w:eastAsia="宋体" w:cs="宋体"/>
          <w:sz w:val="32"/>
          <w:szCs w:val="32"/>
          <w:highlight w:val="none"/>
          <w:u w:val="single"/>
          <w:lang w:val="en-US" w:eastAsia="zh-CN"/>
        </w:rPr>
        <w:t>0</w:t>
      </w:r>
      <w:r>
        <w:rPr>
          <w:rFonts w:hint="eastAsia" w:ascii="宋体" w:hAnsi="宋体" w:eastAsia="宋体" w:cs="宋体"/>
          <w:sz w:val="32"/>
          <w:szCs w:val="32"/>
          <w:highlight w:val="none"/>
        </w:rPr>
        <w:t>万元，占</w:t>
      </w:r>
      <w:r>
        <w:rPr>
          <w:rFonts w:hint="eastAsia" w:ascii="宋体" w:hAnsi="宋体" w:eastAsia="宋体" w:cs="宋体"/>
          <w:sz w:val="32"/>
          <w:szCs w:val="32"/>
          <w:highlight w:val="none"/>
          <w:u w:val="single"/>
          <w:lang w:val="en-US" w:eastAsia="zh-CN"/>
        </w:rPr>
        <w:t>0</w:t>
      </w:r>
      <w:r>
        <w:rPr>
          <w:rFonts w:hint="eastAsia" w:ascii="宋体" w:hAnsi="宋体" w:eastAsia="宋体" w:cs="宋体"/>
          <w:sz w:val="32"/>
          <w:szCs w:val="32"/>
          <w:highlight w:val="none"/>
        </w:rPr>
        <w:t>%；</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本年财政专户管理资金</w:t>
      </w:r>
      <w:r>
        <w:rPr>
          <w:rFonts w:hint="eastAsia" w:ascii="宋体" w:hAnsi="宋体" w:eastAsia="宋体" w:cs="宋体"/>
          <w:sz w:val="32"/>
          <w:szCs w:val="32"/>
          <w:highlight w:val="none"/>
          <w:u w:val="single"/>
          <w:lang w:val="en-US" w:eastAsia="zh-CN"/>
        </w:rPr>
        <w:t>0</w:t>
      </w:r>
      <w:r>
        <w:rPr>
          <w:rFonts w:hint="eastAsia" w:ascii="宋体" w:hAnsi="宋体" w:eastAsia="宋体" w:cs="宋体"/>
          <w:sz w:val="32"/>
          <w:szCs w:val="32"/>
          <w:highlight w:val="none"/>
        </w:rPr>
        <w:t>万元，占</w:t>
      </w:r>
      <w:r>
        <w:rPr>
          <w:rFonts w:hint="eastAsia" w:ascii="宋体" w:hAnsi="宋体" w:eastAsia="宋体" w:cs="宋体"/>
          <w:sz w:val="32"/>
          <w:szCs w:val="32"/>
          <w:highlight w:val="none"/>
          <w:u w:val="single"/>
          <w:lang w:val="en-US" w:eastAsia="zh-CN"/>
        </w:rPr>
        <w:t>0</w:t>
      </w:r>
      <w:r>
        <w:rPr>
          <w:rFonts w:hint="eastAsia" w:ascii="宋体" w:hAnsi="宋体" w:eastAsia="宋体" w:cs="宋体"/>
          <w:sz w:val="32"/>
          <w:szCs w:val="32"/>
          <w:highlight w:val="none"/>
        </w:rPr>
        <w:t>%；</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本年事业收入</w:t>
      </w:r>
      <w:r>
        <w:rPr>
          <w:rFonts w:hint="eastAsia" w:ascii="宋体" w:hAnsi="宋体" w:eastAsia="宋体" w:cs="宋体"/>
          <w:sz w:val="32"/>
          <w:szCs w:val="32"/>
          <w:highlight w:val="none"/>
          <w:u w:val="single"/>
          <w:lang w:val="en-US" w:eastAsia="zh-CN"/>
        </w:rPr>
        <w:t>445</w:t>
      </w:r>
      <w:r>
        <w:rPr>
          <w:rFonts w:hint="eastAsia" w:ascii="宋体" w:hAnsi="宋体" w:eastAsia="宋体" w:cs="宋体"/>
          <w:sz w:val="32"/>
          <w:szCs w:val="32"/>
          <w:highlight w:val="none"/>
          <w:lang w:val="en-US" w:eastAsia="zh-CN"/>
        </w:rPr>
        <w:t>万元，</w:t>
      </w:r>
      <w:r>
        <w:rPr>
          <w:rFonts w:hint="eastAsia" w:ascii="宋体" w:hAnsi="宋体" w:eastAsia="宋体" w:cs="宋体"/>
          <w:sz w:val="32"/>
          <w:szCs w:val="32"/>
          <w:highlight w:val="none"/>
        </w:rPr>
        <w:t>占</w:t>
      </w:r>
      <w:r>
        <w:rPr>
          <w:rFonts w:hint="eastAsia" w:ascii="宋体" w:hAnsi="宋体" w:eastAsia="宋体" w:cs="宋体"/>
          <w:sz w:val="32"/>
          <w:szCs w:val="32"/>
          <w:highlight w:val="none"/>
          <w:u w:val="single"/>
          <w:lang w:val="en-US" w:eastAsia="zh-CN"/>
        </w:rPr>
        <w:t>34.45</w:t>
      </w:r>
      <w:r>
        <w:rPr>
          <w:rFonts w:hint="eastAsia" w:ascii="宋体" w:hAnsi="宋体" w:eastAsia="宋体" w:cs="宋体"/>
          <w:sz w:val="32"/>
          <w:szCs w:val="32"/>
          <w:highlight w:val="none"/>
        </w:rPr>
        <w:t>%；</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本年事业单位经营收入</w:t>
      </w:r>
      <w:r>
        <w:rPr>
          <w:rFonts w:hint="eastAsia" w:ascii="宋体" w:hAnsi="宋体" w:eastAsia="宋体" w:cs="宋体"/>
          <w:sz w:val="32"/>
          <w:szCs w:val="32"/>
          <w:highlight w:val="none"/>
          <w:u w:val="single"/>
          <w:lang w:val="en-US" w:eastAsia="zh-CN"/>
        </w:rPr>
        <w:t>0</w:t>
      </w:r>
      <w:r>
        <w:rPr>
          <w:rFonts w:hint="eastAsia" w:ascii="宋体" w:hAnsi="宋体" w:eastAsia="宋体" w:cs="宋体"/>
          <w:sz w:val="32"/>
          <w:szCs w:val="32"/>
          <w:highlight w:val="none"/>
        </w:rPr>
        <w:t>万元，占</w:t>
      </w:r>
      <w:r>
        <w:rPr>
          <w:rFonts w:hint="eastAsia" w:ascii="宋体" w:hAnsi="宋体" w:eastAsia="宋体" w:cs="宋体"/>
          <w:sz w:val="32"/>
          <w:szCs w:val="32"/>
          <w:highlight w:val="none"/>
          <w:u w:val="single"/>
          <w:lang w:val="en-US" w:eastAsia="zh-CN"/>
        </w:rPr>
        <w:t>0</w:t>
      </w:r>
      <w:r>
        <w:rPr>
          <w:rFonts w:hint="eastAsia" w:ascii="宋体" w:hAnsi="宋体" w:eastAsia="宋体" w:cs="宋体"/>
          <w:sz w:val="32"/>
          <w:szCs w:val="32"/>
          <w:highlight w:val="none"/>
        </w:rPr>
        <w:t>%；</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本年上级补助收入</w:t>
      </w:r>
      <w:r>
        <w:rPr>
          <w:rFonts w:hint="eastAsia" w:ascii="宋体" w:hAnsi="宋体" w:eastAsia="宋体" w:cs="宋体"/>
          <w:sz w:val="32"/>
          <w:szCs w:val="32"/>
          <w:highlight w:val="none"/>
          <w:u w:val="single"/>
          <w:lang w:val="en-US" w:eastAsia="zh-CN"/>
        </w:rPr>
        <w:t>0</w:t>
      </w:r>
      <w:r>
        <w:rPr>
          <w:rFonts w:hint="eastAsia" w:ascii="宋体" w:hAnsi="宋体" w:eastAsia="宋体" w:cs="宋体"/>
          <w:sz w:val="32"/>
          <w:szCs w:val="32"/>
          <w:highlight w:val="none"/>
        </w:rPr>
        <w:t>万元，占</w:t>
      </w:r>
      <w:r>
        <w:rPr>
          <w:rFonts w:hint="eastAsia" w:ascii="宋体" w:hAnsi="宋体" w:eastAsia="宋体" w:cs="宋体"/>
          <w:sz w:val="32"/>
          <w:szCs w:val="32"/>
          <w:highlight w:val="none"/>
          <w:u w:val="single"/>
          <w:lang w:val="en-US" w:eastAsia="zh-CN"/>
        </w:rPr>
        <w:t>0</w:t>
      </w:r>
      <w:r>
        <w:rPr>
          <w:rFonts w:hint="eastAsia" w:ascii="宋体" w:hAnsi="宋体" w:eastAsia="宋体" w:cs="宋体"/>
          <w:sz w:val="32"/>
          <w:szCs w:val="32"/>
          <w:highlight w:val="none"/>
        </w:rPr>
        <w:t>%；</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本年附属单位上缴收入</w:t>
      </w:r>
      <w:r>
        <w:rPr>
          <w:rFonts w:hint="eastAsia" w:ascii="宋体" w:hAnsi="宋体" w:eastAsia="宋体" w:cs="宋体"/>
          <w:sz w:val="32"/>
          <w:szCs w:val="32"/>
          <w:highlight w:val="none"/>
          <w:u w:val="single"/>
          <w:lang w:val="en-US" w:eastAsia="zh-CN"/>
        </w:rPr>
        <w:t>0</w:t>
      </w:r>
      <w:r>
        <w:rPr>
          <w:rFonts w:hint="eastAsia" w:ascii="宋体" w:hAnsi="宋体" w:eastAsia="宋体" w:cs="宋体"/>
          <w:sz w:val="32"/>
          <w:szCs w:val="32"/>
          <w:highlight w:val="none"/>
        </w:rPr>
        <w:t>万元，占</w:t>
      </w:r>
      <w:r>
        <w:rPr>
          <w:rFonts w:hint="eastAsia" w:ascii="宋体" w:hAnsi="宋体" w:eastAsia="宋体" w:cs="宋体"/>
          <w:sz w:val="32"/>
          <w:szCs w:val="32"/>
          <w:highlight w:val="none"/>
          <w:u w:val="single"/>
          <w:lang w:val="en-US" w:eastAsia="zh-CN"/>
        </w:rPr>
        <w:t>0</w:t>
      </w:r>
      <w:r>
        <w:rPr>
          <w:rFonts w:hint="eastAsia" w:ascii="宋体" w:hAnsi="宋体" w:eastAsia="宋体" w:cs="宋体"/>
          <w:sz w:val="32"/>
          <w:szCs w:val="32"/>
          <w:highlight w:val="none"/>
        </w:rPr>
        <w:t>%；</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本年其他收入</w:t>
      </w:r>
      <w:r>
        <w:rPr>
          <w:rFonts w:hint="eastAsia" w:ascii="宋体" w:hAnsi="宋体" w:eastAsia="宋体" w:cs="宋体"/>
          <w:sz w:val="32"/>
          <w:szCs w:val="32"/>
          <w:highlight w:val="none"/>
          <w:u w:val="single"/>
          <w:lang w:val="en-US" w:eastAsia="zh-CN"/>
        </w:rPr>
        <w:t>0</w:t>
      </w:r>
      <w:r>
        <w:rPr>
          <w:rFonts w:hint="eastAsia" w:ascii="宋体" w:hAnsi="宋体" w:eastAsia="宋体" w:cs="宋体"/>
          <w:sz w:val="32"/>
          <w:szCs w:val="32"/>
          <w:highlight w:val="none"/>
        </w:rPr>
        <w:t>万元，占</w:t>
      </w:r>
      <w:r>
        <w:rPr>
          <w:rFonts w:hint="eastAsia" w:ascii="宋体" w:hAnsi="宋体" w:eastAsia="宋体" w:cs="宋体"/>
          <w:sz w:val="32"/>
          <w:szCs w:val="32"/>
          <w:highlight w:val="none"/>
          <w:u w:val="single"/>
          <w:lang w:val="en-US" w:eastAsia="zh-CN"/>
        </w:rPr>
        <w:t>0</w:t>
      </w:r>
      <w:r>
        <w:rPr>
          <w:rFonts w:hint="eastAsia" w:ascii="宋体" w:hAnsi="宋体" w:eastAsia="宋体" w:cs="宋体"/>
          <w:sz w:val="32"/>
          <w:szCs w:val="32"/>
          <w:highlight w:val="none"/>
        </w:rPr>
        <w:t>%；</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上年结转结余的一般公共预算收入</w:t>
      </w:r>
      <w:r>
        <w:rPr>
          <w:rFonts w:hint="eastAsia" w:ascii="宋体" w:hAnsi="宋体" w:eastAsia="宋体" w:cs="宋体"/>
          <w:sz w:val="32"/>
          <w:szCs w:val="32"/>
          <w:highlight w:val="none"/>
          <w:u w:val="single"/>
          <w:lang w:val="en-US" w:eastAsia="zh-CN"/>
        </w:rPr>
        <w:t>41.69</w:t>
      </w:r>
      <w:r>
        <w:rPr>
          <w:rFonts w:hint="eastAsia" w:ascii="宋体" w:hAnsi="宋体" w:eastAsia="宋体" w:cs="宋体"/>
          <w:sz w:val="32"/>
          <w:szCs w:val="32"/>
          <w:highlight w:val="none"/>
          <w:lang w:val="en-US" w:eastAsia="zh-CN"/>
        </w:rPr>
        <w:t>万元</w:t>
      </w:r>
      <w:r>
        <w:rPr>
          <w:rFonts w:hint="eastAsia" w:ascii="宋体" w:hAnsi="宋体" w:eastAsia="宋体" w:cs="宋体"/>
          <w:sz w:val="32"/>
          <w:szCs w:val="32"/>
          <w:highlight w:val="none"/>
        </w:rPr>
        <w:t>，占</w:t>
      </w:r>
      <w:r>
        <w:rPr>
          <w:rFonts w:hint="eastAsia" w:ascii="宋体" w:hAnsi="宋体" w:eastAsia="宋体" w:cs="宋体"/>
          <w:sz w:val="32"/>
          <w:szCs w:val="32"/>
          <w:highlight w:val="none"/>
          <w:u w:val="single"/>
          <w:lang w:val="en-US" w:eastAsia="zh-CN"/>
        </w:rPr>
        <w:t>3.2</w:t>
      </w:r>
      <w:r>
        <w:rPr>
          <w:rFonts w:hint="eastAsia" w:ascii="宋体" w:hAnsi="宋体" w:eastAsia="宋体" w:cs="宋体"/>
          <w:sz w:val="32"/>
          <w:szCs w:val="32"/>
          <w:highlight w:val="none"/>
        </w:rPr>
        <w:t>%；</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上年结转结余的政府性基金预算收入</w:t>
      </w:r>
      <w:r>
        <w:rPr>
          <w:rFonts w:hint="eastAsia" w:ascii="宋体" w:hAnsi="宋体" w:eastAsia="宋体" w:cs="宋体"/>
          <w:sz w:val="32"/>
          <w:szCs w:val="32"/>
          <w:highlight w:val="none"/>
          <w:u w:val="single"/>
          <w:lang w:val="en-US" w:eastAsia="zh-CN"/>
        </w:rPr>
        <w:t>45.56</w:t>
      </w:r>
      <w:r>
        <w:rPr>
          <w:rFonts w:hint="eastAsia" w:ascii="宋体" w:hAnsi="宋体" w:eastAsia="宋体" w:cs="宋体"/>
          <w:sz w:val="32"/>
          <w:szCs w:val="32"/>
          <w:highlight w:val="none"/>
        </w:rPr>
        <w:t>万元，占</w:t>
      </w:r>
      <w:r>
        <w:rPr>
          <w:rFonts w:hint="eastAsia" w:ascii="宋体" w:hAnsi="宋体" w:eastAsia="宋体" w:cs="宋体"/>
          <w:sz w:val="32"/>
          <w:szCs w:val="32"/>
          <w:highlight w:val="none"/>
          <w:u w:val="single"/>
          <w:lang w:val="en-US" w:eastAsia="zh-CN"/>
        </w:rPr>
        <w:t>3.51</w:t>
      </w:r>
      <w:r>
        <w:rPr>
          <w:rFonts w:hint="eastAsia" w:ascii="宋体" w:hAnsi="宋体" w:eastAsia="宋体" w:cs="宋体"/>
          <w:sz w:val="32"/>
          <w:szCs w:val="32"/>
          <w:highlight w:val="none"/>
        </w:rPr>
        <w:t>%；</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上年结转结余的国有资本经营预算收入</w:t>
      </w:r>
      <w:r>
        <w:rPr>
          <w:rFonts w:hint="eastAsia" w:ascii="宋体" w:hAnsi="宋体" w:eastAsia="宋体" w:cs="宋体"/>
          <w:sz w:val="32"/>
          <w:szCs w:val="32"/>
          <w:highlight w:val="none"/>
          <w:u w:val="single"/>
          <w:lang w:val="en-US" w:eastAsia="zh-CN"/>
        </w:rPr>
        <w:t>0</w:t>
      </w:r>
      <w:r>
        <w:rPr>
          <w:rFonts w:hint="eastAsia" w:ascii="宋体" w:hAnsi="宋体" w:eastAsia="宋体" w:cs="宋体"/>
          <w:sz w:val="32"/>
          <w:szCs w:val="32"/>
          <w:highlight w:val="none"/>
        </w:rPr>
        <w:t>万元，占</w:t>
      </w:r>
      <w:r>
        <w:rPr>
          <w:rFonts w:hint="eastAsia" w:ascii="宋体" w:hAnsi="宋体" w:eastAsia="宋体" w:cs="宋体"/>
          <w:sz w:val="32"/>
          <w:szCs w:val="32"/>
          <w:highlight w:val="none"/>
          <w:u w:val="single"/>
          <w:lang w:val="en-US" w:eastAsia="zh-CN"/>
        </w:rPr>
        <w:t>0</w:t>
      </w:r>
      <w:r>
        <w:rPr>
          <w:rFonts w:hint="eastAsia" w:ascii="宋体" w:hAnsi="宋体" w:eastAsia="宋体" w:cs="宋体"/>
          <w:sz w:val="32"/>
          <w:szCs w:val="32"/>
          <w:highlight w:val="none"/>
        </w:rPr>
        <w:t>%；</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上年结转结余的财政专户管理资金</w:t>
      </w:r>
      <w:r>
        <w:rPr>
          <w:rFonts w:hint="eastAsia" w:ascii="宋体" w:hAnsi="宋体" w:eastAsia="宋体" w:cs="宋体"/>
          <w:sz w:val="32"/>
          <w:szCs w:val="32"/>
          <w:highlight w:val="none"/>
          <w:u w:val="single"/>
          <w:lang w:val="en-US" w:eastAsia="zh-CN"/>
        </w:rPr>
        <w:t>0</w:t>
      </w:r>
      <w:r>
        <w:rPr>
          <w:rFonts w:hint="eastAsia" w:ascii="宋体" w:hAnsi="宋体" w:eastAsia="宋体" w:cs="宋体"/>
          <w:sz w:val="32"/>
          <w:szCs w:val="32"/>
          <w:highlight w:val="none"/>
        </w:rPr>
        <w:t>万元，占</w:t>
      </w:r>
      <w:r>
        <w:rPr>
          <w:rFonts w:hint="eastAsia" w:ascii="宋体" w:hAnsi="宋体" w:eastAsia="宋体" w:cs="宋体"/>
          <w:sz w:val="32"/>
          <w:szCs w:val="32"/>
          <w:highlight w:val="none"/>
          <w:u w:val="single"/>
        </w:rPr>
        <w:tab/>
      </w:r>
      <w:r>
        <w:rPr>
          <w:rFonts w:hint="eastAsia" w:ascii="宋体" w:hAnsi="宋体" w:eastAsia="宋体" w:cs="宋体"/>
          <w:sz w:val="32"/>
          <w:szCs w:val="32"/>
          <w:highlight w:val="none"/>
          <w:u w:val="single"/>
          <w:lang w:val="en-US" w:eastAsia="zh-CN"/>
        </w:rPr>
        <w:t>0</w:t>
      </w:r>
      <w:r>
        <w:rPr>
          <w:rFonts w:hint="eastAsia" w:ascii="宋体" w:hAnsi="宋体" w:eastAsia="宋体" w:cs="宋体"/>
          <w:sz w:val="32"/>
          <w:szCs w:val="32"/>
          <w:highlight w:val="none"/>
        </w:rPr>
        <w:t>%；</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上年结转结余的单位资金</w:t>
      </w:r>
      <w:r>
        <w:rPr>
          <w:rFonts w:hint="eastAsia" w:ascii="宋体" w:hAnsi="宋体" w:eastAsia="宋体" w:cs="宋体"/>
          <w:sz w:val="32"/>
          <w:szCs w:val="32"/>
          <w:highlight w:val="none"/>
          <w:u w:val="single"/>
          <w:lang w:val="en-US" w:eastAsia="zh-CN"/>
        </w:rPr>
        <w:t>0</w:t>
      </w:r>
      <w:r>
        <w:rPr>
          <w:rFonts w:hint="eastAsia" w:ascii="宋体" w:hAnsi="宋体" w:eastAsia="宋体" w:cs="宋体"/>
          <w:sz w:val="32"/>
          <w:szCs w:val="32"/>
          <w:highlight w:val="none"/>
        </w:rPr>
        <w:t>万元，占</w:t>
      </w:r>
      <w:r>
        <w:rPr>
          <w:rFonts w:hint="eastAsia" w:ascii="宋体" w:hAnsi="宋体" w:eastAsia="宋体" w:cs="宋体"/>
          <w:sz w:val="32"/>
          <w:szCs w:val="32"/>
          <w:highlight w:val="none"/>
          <w:u w:val="single"/>
          <w:lang w:val="en-US" w:eastAsia="zh-CN"/>
        </w:rPr>
        <w:t>0</w:t>
      </w:r>
      <w:r>
        <w:rPr>
          <w:rFonts w:hint="eastAsia" w:ascii="宋体" w:hAnsi="宋体" w:eastAsia="宋体" w:cs="宋体"/>
          <w:sz w:val="32"/>
          <w:szCs w:val="32"/>
          <w:highlight w:val="none"/>
        </w:rPr>
        <w:t>%；</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rPr>
      </w:pPr>
      <w:r>
        <w:rPr>
          <w:rFonts w:hint="eastAsia" w:ascii="宋体" w:hAnsi="宋体" w:eastAsia="宋体" w:cs="宋体"/>
          <w:color w:val="auto"/>
          <w:sz w:val="32"/>
          <w:szCs w:val="32"/>
          <w:highlight w:val="lightGray"/>
          <w:lang w:eastAsia="zh-CN"/>
        </w:rPr>
        <w:drawing>
          <wp:inline distT="0" distB="0" distL="114300" distR="114300">
            <wp:extent cx="5203190" cy="4048125"/>
            <wp:effectExtent l="4445" t="4445" r="12065" b="5080"/>
            <wp:docPr id="1"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p>
      <w:pPr>
        <w:pageBreakBefore w:val="0"/>
        <w:numPr>
          <w:ilvl w:val="0"/>
          <w:numId w:val="0"/>
        </w:numPr>
        <w:kinsoku/>
        <w:wordWrap/>
        <w:overflowPunct/>
        <w:topLinePunct w:val="0"/>
        <w:bidi w:val="0"/>
        <w:spacing w:line="360" w:lineRule="auto"/>
        <w:ind w:firstLine="643" w:firstLineChars="200"/>
        <w:outlineLvl w:val="0"/>
        <w:rPr>
          <w:rFonts w:hint="eastAsia" w:ascii="宋体" w:hAnsi="宋体" w:eastAsia="宋体" w:cs="宋体"/>
          <w:b/>
          <w:bCs/>
        </w:rPr>
      </w:pPr>
      <w:r>
        <w:rPr>
          <w:rFonts w:hint="eastAsia" w:ascii="宋体" w:hAnsi="宋体" w:eastAsia="宋体" w:cs="宋体"/>
          <w:b/>
          <w:bCs/>
          <w:sz w:val="32"/>
          <w:szCs w:val="36"/>
          <w:lang w:val="en-US" w:eastAsia="zh-CN"/>
        </w:rPr>
        <w:t>二、</w:t>
      </w:r>
      <w:r>
        <w:rPr>
          <w:rFonts w:hint="eastAsia" w:ascii="宋体" w:hAnsi="宋体" w:eastAsia="宋体" w:cs="宋体"/>
          <w:b/>
          <w:bCs/>
          <w:sz w:val="32"/>
          <w:szCs w:val="36"/>
        </w:rPr>
        <w:t>支出预算情况说明</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u w:val="single"/>
          <w:lang w:val="en-US" w:eastAsia="zh-CN"/>
        </w:rPr>
        <w:t>锡林郭勒盟社会福利院</w:t>
      </w:r>
      <w:r>
        <w:rPr>
          <w:rFonts w:hint="eastAsia" w:ascii="宋体" w:hAnsi="宋体" w:eastAsia="宋体" w:cs="宋体"/>
          <w:sz w:val="32"/>
          <w:szCs w:val="32"/>
          <w:highlight w:val="none"/>
          <w:lang w:val="en-US" w:eastAsia="zh-CN"/>
        </w:rPr>
        <w:t>2025</w:t>
      </w:r>
      <w:r>
        <w:rPr>
          <w:rFonts w:hint="eastAsia" w:ascii="宋体" w:hAnsi="宋体" w:eastAsia="宋体" w:cs="宋体"/>
          <w:sz w:val="32"/>
          <w:szCs w:val="32"/>
          <w:highlight w:val="none"/>
        </w:rPr>
        <w:t>年支出预算合计</w:t>
      </w:r>
      <w:r>
        <w:rPr>
          <w:rFonts w:hint="eastAsia" w:ascii="宋体" w:hAnsi="宋体" w:eastAsia="宋体" w:cs="宋体"/>
          <w:sz w:val="32"/>
          <w:szCs w:val="32"/>
          <w:highlight w:val="none"/>
          <w:u w:val="single"/>
          <w:lang w:val="en-US" w:eastAsia="zh-CN"/>
        </w:rPr>
        <w:t>1291.62</w:t>
      </w:r>
      <w:r>
        <w:rPr>
          <w:rFonts w:hint="eastAsia" w:ascii="宋体" w:hAnsi="宋体" w:eastAsia="宋体" w:cs="宋体"/>
          <w:sz w:val="32"/>
          <w:szCs w:val="32"/>
          <w:highlight w:val="none"/>
        </w:rPr>
        <w:t>万元，其中：</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基本支出</w:t>
      </w:r>
      <w:r>
        <w:rPr>
          <w:rFonts w:hint="eastAsia" w:ascii="宋体" w:hAnsi="宋体" w:eastAsia="宋体" w:cs="宋体"/>
          <w:sz w:val="32"/>
          <w:szCs w:val="32"/>
          <w:highlight w:val="none"/>
          <w:u w:val="single"/>
          <w:lang w:val="en-US" w:eastAsia="zh-CN"/>
        </w:rPr>
        <w:t>1002.23</w:t>
      </w:r>
      <w:r>
        <w:rPr>
          <w:rFonts w:hint="eastAsia" w:ascii="宋体" w:hAnsi="宋体" w:eastAsia="宋体" w:cs="宋体"/>
          <w:sz w:val="32"/>
          <w:szCs w:val="32"/>
          <w:highlight w:val="none"/>
        </w:rPr>
        <w:t>万元，占</w:t>
      </w:r>
      <w:r>
        <w:rPr>
          <w:rFonts w:hint="eastAsia" w:ascii="宋体" w:hAnsi="宋体" w:eastAsia="宋体" w:cs="宋体"/>
          <w:sz w:val="32"/>
          <w:szCs w:val="32"/>
          <w:highlight w:val="none"/>
          <w:u w:val="single"/>
          <w:lang w:val="en-US" w:eastAsia="zh-CN"/>
        </w:rPr>
        <w:t>77.6</w:t>
      </w:r>
      <w:r>
        <w:rPr>
          <w:rFonts w:hint="eastAsia" w:ascii="宋体" w:hAnsi="宋体" w:eastAsia="宋体" w:cs="宋体"/>
          <w:sz w:val="32"/>
          <w:szCs w:val="32"/>
          <w:highlight w:val="none"/>
          <w:u w:val="single"/>
        </w:rPr>
        <w:t>%</w:t>
      </w:r>
      <w:r>
        <w:rPr>
          <w:rFonts w:hint="eastAsia" w:ascii="宋体" w:hAnsi="宋体" w:eastAsia="宋体" w:cs="宋体"/>
          <w:sz w:val="32"/>
          <w:szCs w:val="32"/>
          <w:highlight w:val="none"/>
        </w:rPr>
        <w:t>；</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项目支出</w:t>
      </w:r>
      <w:r>
        <w:rPr>
          <w:rFonts w:hint="eastAsia" w:ascii="宋体" w:hAnsi="宋体" w:eastAsia="宋体" w:cs="宋体"/>
          <w:sz w:val="32"/>
          <w:szCs w:val="32"/>
          <w:highlight w:val="none"/>
          <w:u w:val="single"/>
          <w:lang w:val="en-US" w:eastAsia="zh-CN"/>
        </w:rPr>
        <w:t>289.39</w:t>
      </w:r>
      <w:r>
        <w:rPr>
          <w:rFonts w:hint="eastAsia" w:ascii="宋体" w:hAnsi="宋体" w:eastAsia="宋体" w:cs="宋体"/>
          <w:sz w:val="32"/>
          <w:szCs w:val="32"/>
          <w:highlight w:val="none"/>
        </w:rPr>
        <w:t>万元，占</w:t>
      </w:r>
      <w:r>
        <w:rPr>
          <w:rFonts w:hint="eastAsia" w:ascii="宋体" w:hAnsi="宋体" w:eastAsia="宋体" w:cs="宋体"/>
          <w:sz w:val="32"/>
          <w:szCs w:val="32"/>
          <w:highlight w:val="none"/>
          <w:u w:val="single"/>
          <w:lang w:val="en-US" w:eastAsia="zh-CN"/>
        </w:rPr>
        <w:t>22.4</w:t>
      </w:r>
      <w:r>
        <w:rPr>
          <w:rFonts w:hint="eastAsia" w:ascii="宋体" w:hAnsi="宋体" w:eastAsia="宋体" w:cs="宋体"/>
          <w:sz w:val="32"/>
          <w:szCs w:val="32"/>
          <w:highlight w:val="none"/>
          <w:u w:val="single"/>
        </w:rPr>
        <w:t>%</w:t>
      </w:r>
      <w:r>
        <w:rPr>
          <w:rFonts w:hint="eastAsia" w:ascii="宋体" w:hAnsi="宋体" w:eastAsia="宋体" w:cs="宋体"/>
          <w:sz w:val="32"/>
          <w:szCs w:val="32"/>
          <w:highlight w:val="none"/>
        </w:rPr>
        <w:t>；</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事业单位经营支出</w:t>
      </w:r>
      <w:r>
        <w:rPr>
          <w:rFonts w:hint="eastAsia" w:ascii="宋体" w:hAnsi="宋体" w:eastAsia="宋体" w:cs="宋体"/>
          <w:sz w:val="32"/>
          <w:szCs w:val="32"/>
          <w:highlight w:val="none"/>
          <w:u w:val="single"/>
          <w:lang w:val="en-US" w:eastAsia="zh-CN"/>
        </w:rPr>
        <w:t>0</w:t>
      </w:r>
      <w:r>
        <w:rPr>
          <w:rFonts w:hint="eastAsia" w:ascii="宋体" w:hAnsi="宋体" w:eastAsia="宋体" w:cs="宋体"/>
          <w:sz w:val="32"/>
          <w:szCs w:val="32"/>
          <w:highlight w:val="none"/>
        </w:rPr>
        <w:t>万元，占</w:t>
      </w:r>
      <w:r>
        <w:rPr>
          <w:rFonts w:hint="eastAsia" w:ascii="宋体" w:hAnsi="宋体" w:eastAsia="宋体" w:cs="宋体"/>
          <w:sz w:val="32"/>
          <w:szCs w:val="32"/>
          <w:highlight w:val="none"/>
          <w:u w:val="single"/>
          <w:lang w:val="en-US" w:eastAsia="zh-CN"/>
        </w:rPr>
        <w:t>0</w:t>
      </w:r>
      <w:r>
        <w:rPr>
          <w:rFonts w:hint="eastAsia" w:ascii="宋体" w:hAnsi="宋体" w:eastAsia="宋体" w:cs="宋体"/>
          <w:sz w:val="32"/>
          <w:szCs w:val="32"/>
          <w:highlight w:val="none"/>
          <w:u w:val="single"/>
        </w:rPr>
        <w:t>%</w:t>
      </w:r>
      <w:r>
        <w:rPr>
          <w:rFonts w:hint="eastAsia" w:ascii="宋体" w:hAnsi="宋体" w:eastAsia="宋体" w:cs="宋体"/>
          <w:sz w:val="32"/>
          <w:szCs w:val="32"/>
          <w:highlight w:val="none"/>
        </w:rPr>
        <w:t>；</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上缴上级支出</w:t>
      </w:r>
      <w:r>
        <w:rPr>
          <w:rFonts w:hint="eastAsia" w:ascii="宋体" w:hAnsi="宋体" w:eastAsia="宋体" w:cs="宋体"/>
          <w:sz w:val="32"/>
          <w:szCs w:val="32"/>
          <w:highlight w:val="none"/>
          <w:u w:val="single"/>
          <w:lang w:val="en-US" w:eastAsia="zh-CN"/>
        </w:rPr>
        <w:t>0</w:t>
      </w:r>
      <w:r>
        <w:rPr>
          <w:rFonts w:hint="eastAsia" w:ascii="宋体" w:hAnsi="宋体" w:eastAsia="宋体" w:cs="宋体"/>
          <w:sz w:val="32"/>
          <w:szCs w:val="32"/>
          <w:highlight w:val="none"/>
        </w:rPr>
        <w:t>万元，占</w:t>
      </w:r>
      <w:r>
        <w:rPr>
          <w:rFonts w:hint="eastAsia" w:ascii="宋体" w:hAnsi="宋体" w:eastAsia="宋体" w:cs="宋体"/>
          <w:sz w:val="32"/>
          <w:szCs w:val="32"/>
          <w:highlight w:val="none"/>
          <w:u w:val="single"/>
          <w:lang w:val="en-US" w:eastAsia="zh-CN"/>
        </w:rPr>
        <w:t>0</w:t>
      </w:r>
      <w:r>
        <w:rPr>
          <w:rFonts w:hint="eastAsia" w:ascii="宋体" w:hAnsi="宋体" w:eastAsia="宋体" w:cs="宋体"/>
          <w:sz w:val="32"/>
          <w:szCs w:val="32"/>
          <w:highlight w:val="none"/>
          <w:u w:val="single"/>
        </w:rPr>
        <w:t>%</w:t>
      </w:r>
      <w:r>
        <w:rPr>
          <w:rFonts w:hint="eastAsia" w:ascii="宋体" w:hAnsi="宋体" w:eastAsia="宋体" w:cs="宋体"/>
          <w:sz w:val="32"/>
          <w:szCs w:val="32"/>
          <w:highlight w:val="none"/>
        </w:rPr>
        <w:t>；</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none"/>
          <w:lang w:eastAsia="zh-CN"/>
        </w:rPr>
      </w:pPr>
      <w:r>
        <w:rPr>
          <w:rFonts w:hint="eastAsia" w:ascii="宋体" w:hAnsi="宋体" w:eastAsia="宋体" w:cs="宋体"/>
          <w:sz w:val="32"/>
          <w:szCs w:val="32"/>
          <w:highlight w:val="none"/>
        </w:rPr>
        <w:t>对附属单位补助支出</w:t>
      </w:r>
      <w:r>
        <w:rPr>
          <w:rFonts w:hint="eastAsia" w:ascii="宋体" w:hAnsi="宋体" w:eastAsia="宋体" w:cs="宋体"/>
          <w:sz w:val="32"/>
          <w:szCs w:val="32"/>
          <w:highlight w:val="none"/>
          <w:u w:val="single"/>
          <w:lang w:val="en-US" w:eastAsia="zh-CN"/>
        </w:rPr>
        <w:t>0</w:t>
      </w:r>
      <w:r>
        <w:rPr>
          <w:rFonts w:hint="eastAsia" w:ascii="宋体" w:hAnsi="宋体" w:eastAsia="宋体" w:cs="宋体"/>
          <w:sz w:val="32"/>
          <w:szCs w:val="32"/>
          <w:highlight w:val="none"/>
        </w:rPr>
        <w:t>万元，占</w:t>
      </w:r>
      <w:r>
        <w:rPr>
          <w:rFonts w:hint="eastAsia" w:ascii="宋体" w:hAnsi="宋体" w:eastAsia="宋体" w:cs="宋体"/>
          <w:sz w:val="32"/>
          <w:szCs w:val="32"/>
          <w:highlight w:val="none"/>
          <w:u w:val="single"/>
          <w:lang w:val="en-US" w:eastAsia="zh-CN"/>
        </w:rPr>
        <w:t>0</w:t>
      </w:r>
      <w:r>
        <w:rPr>
          <w:rFonts w:hint="eastAsia" w:ascii="宋体" w:hAnsi="宋体" w:eastAsia="宋体" w:cs="宋体"/>
          <w:sz w:val="32"/>
          <w:szCs w:val="32"/>
          <w:highlight w:val="none"/>
          <w:u w:val="single"/>
        </w:rPr>
        <w:t>%</w:t>
      </w:r>
      <w:r>
        <w:rPr>
          <w:rFonts w:hint="eastAsia" w:ascii="宋体" w:hAnsi="宋体" w:eastAsia="宋体" w:cs="宋体"/>
          <w:sz w:val="32"/>
          <w:szCs w:val="32"/>
          <w:highlight w:val="none"/>
        </w:rPr>
        <w:t>。</w:t>
      </w:r>
      <w:r>
        <w:rPr>
          <w:rFonts w:hint="eastAsia" w:ascii="宋体" w:hAnsi="宋体" w:eastAsia="宋体" w:cs="宋体"/>
          <w:color w:val="auto"/>
          <w:sz w:val="32"/>
          <w:szCs w:val="32"/>
          <w:highlight w:val="lightGray"/>
          <w:lang w:eastAsia="zh-CN"/>
        </w:rPr>
        <w:drawing>
          <wp:anchor distT="0" distB="0" distL="114300" distR="114300" simplePos="0" relativeHeight="251658240" behindDoc="0" locked="0" layoutInCell="1" allowOverlap="1">
            <wp:simplePos x="0" y="0"/>
            <wp:positionH relativeFrom="column">
              <wp:posOffset>295275</wp:posOffset>
            </wp:positionH>
            <wp:positionV relativeFrom="paragraph">
              <wp:posOffset>544195</wp:posOffset>
            </wp:positionV>
            <wp:extent cx="5612765" cy="1700530"/>
            <wp:effectExtent l="4445" t="4445" r="21590" b="9525"/>
            <wp:wrapSquare wrapText="bothSides"/>
            <wp:docPr id="3"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anchor>
        </w:drawing>
      </w:r>
    </w:p>
    <w:p>
      <w:pPr>
        <w:pStyle w:val="10"/>
        <w:pageBreakBefore w:val="0"/>
        <w:tabs>
          <w:tab w:val="left" w:pos="2671"/>
          <w:tab w:val="left" w:pos="5000"/>
          <w:tab w:val="left" w:pos="6190"/>
        </w:tabs>
        <w:kinsoku/>
        <w:wordWrap/>
        <w:overflowPunct/>
        <w:topLinePunct w:val="0"/>
        <w:bidi w:val="0"/>
        <w:spacing w:after="0" w:line="360" w:lineRule="auto"/>
        <w:rPr>
          <w:rFonts w:hint="eastAsia" w:ascii="宋体" w:hAnsi="宋体" w:eastAsia="宋体" w:cs="宋体"/>
          <w:sz w:val="32"/>
          <w:szCs w:val="32"/>
          <w:highlight w:val="none"/>
          <w:lang w:eastAsia="zh-CN"/>
        </w:rPr>
      </w:pPr>
    </w:p>
    <w:p>
      <w:pPr>
        <w:pageBreakBefore w:val="0"/>
        <w:kinsoku/>
        <w:wordWrap/>
        <w:overflowPunct/>
        <w:topLinePunct w:val="0"/>
        <w:bidi w:val="0"/>
        <w:spacing w:line="360" w:lineRule="auto"/>
        <w:ind w:firstLine="643" w:firstLineChars="200"/>
        <w:outlineLvl w:val="0"/>
        <w:rPr>
          <w:rFonts w:hint="eastAsia" w:ascii="宋体" w:hAnsi="宋体" w:eastAsia="宋体" w:cs="宋体"/>
          <w:b/>
          <w:bCs/>
          <w:sz w:val="32"/>
          <w:szCs w:val="36"/>
          <w:highlight w:val="none"/>
        </w:rPr>
      </w:pPr>
      <w:r>
        <w:rPr>
          <w:rFonts w:hint="eastAsia" w:ascii="宋体" w:hAnsi="宋体" w:eastAsia="宋体" w:cs="宋体"/>
          <w:b/>
          <w:bCs/>
          <w:sz w:val="32"/>
          <w:szCs w:val="36"/>
          <w:highlight w:val="none"/>
        </w:rPr>
        <w:t>四、财政拨款收支预算总体情况说明</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none"/>
          <w:lang w:eastAsia="zh-CN"/>
        </w:rPr>
      </w:pPr>
      <w:r>
        <w:rPr>
          <w:rFonts w:hint="eastAsia" w:ascii="宋体" w:hAnsi="宋体" w:eastAsia="宋体" w:cs="宋体"/>
          <w:sz w:val="32"/>
          <w:szCs w:val="32"/>
          <w:u w:val="single"/>
          <w:lang w:val="en-US" w:eastAsia="zh-CN"/>
        </w:rPr>
        <w:t>锡林郭勒盟社会福利院</w:t>
      </w:r>
      <w:r>
        <w:rPr>
          <w:rFonts w:hint="eastAsia" w:ascii="宋体" w:hAnsi="宋体" w:eastAsia="宋体" w:cs="宋体"/>
          <w:sz w:val="32"/>
          <w:szCs w:val="32"/>
          <w:lang w:val="en-US" w:eastAsia="zh-CN"/>
        </w:rPr>
        <w:t>2025</w:t>
      </w:r>
      <w:r>
        <w:rPr>
          <w:rFonts w:hint="eastAsia" w:ascii="宋体" w:hAnsi="宋体" w:eastAsia="宋体" w:cs="宋体"/>
          <w:sz w:val="32"/>
          <w:szCs w:val="32"/>
        </w:rPr>
        <w:t>年度财政拨款收、支总预算</w:t>
      </w:r>
      <w:r>
        <w:rPr>
          <w:rFonts w:hint="eastAsia" w:ascii="宋体" w:hAnsi="宋体" w:eastAsia="宋体" w:cs="宋体"/>
          <w:sz w:val="32"/>
          <w:szCs w:val="32"/>
          <w:u w:val="single"/>
          <w:lang w:val="en-US" w:eastAsia="zh-CN"/>
        </w:rPr>
        <w:t>846.62</w:t>
      </w:r>
      <w:r>
        <w:rPr>
          <w:rFonts w:hint="eastAsia" w:ascii="宋体" w:hAnsi="宋体" w:eastAsia="宋体" w:cs="宋体"/>
          <w:sz w:val="32"/>
          <w:szCs w:val="32"/>
        </w:rPr>
        <w:t>万元。</w:t>
      </w:r>
      <w:r>
        <w:rPr>
          <w:rFonts w:hint="eastAsia" w:ascii="宋体" w:hAnsi="宋体" w:eastAsia="宋体" w:cs="宋体"/>
          <w:sz w:val="32"/>
          <w:szCs w:val="32"/>
          <w:highlight w:val="none"/>
        </w:rPr>
        <w:t>与上年相比，财政拨款收、支总计各</w:t>
      </w:r>
      <w:r>
        <w:rPr>
          <w:rFonts w:hint="eastAsia" w:ascii="宋体" w:hAnsi="宋体" w:eastAsia="宋体" w:cs="宋体"/>
          <w:sz w:val="32"/>
          <w:szCs w:val="32"/>
          <w:highlight w:val="none"/>
          <w:lang w:val="en-US" w:eastAsia="zh-CN"/>
        </w:rPr>
        <w:t>减少</w:t>
      </w:r>
      <w:r>
        <w:rPr>
          <w:rFonts w:hint="eastAsia" w:ascii="宋体" w:hAnsi="宋体" w:eastAsia="宋体" w:cs="宋体"/>
          <w:sz w:val="32"/>
          <w:szCs w:val="32"/>
          <w:highlight w:val="none"/>
          <w:u w:val="single"/>
          <w:lang w:val="en-US" w:eastAsia="zh-CN"/>
        </w:rPr>
        <w:t>40.66</w:t>
      </w:r>
      <w:r>
        <w:rPr>
          <w:rFonts w:hint="eastAsia" w:ascii="宋体" w:hAnsi="宋体" w:eastAsia="宋体" w:cs="宋体"/>
          <w:sz w:val="32"/>
          <w:szCs w:val="32"/>
          <w:highlight w:val="none"/>
        </w:rPr>
        <w:t>万元，</w:t>
      </w:r>
      <w:r>
        <w:rPr>
          <w:rFonts w:hint="eastAsia" w:ascii="宋体" w:hAnsi="宋体" w:eastAsia="宋体" w:cs="宋体"/>
          <w:sz w:val="32"/>
          <w:szCs w:val="32"/>
          <w:highlight w:val="none"/>
          <w:lang w:val="en-US" w:eastAsia="zh-CN"/>
        </w:rPr>
        <w:t>减少</w:t>
      </w:r>
      <w:r>
        <w:rPr>
          <w:rFonts w:hint="eastAsia" w:ascii="宋体" w:hAnsi="宋体" w:eastAsia="宋体" w:cs="宋体"/>
          <w:sz w:val="32"/>
          <w:szCs w:val="32"/>
          <w:highlight w:val="none"/>
          <w:u w:val="single"/>
          <w:lang w:val="en-US" w:eastAsia="zh-CN"/>
        </w:rPr>
        <w:t>5.03</w:t>
      </w:r>
      <w:r>
        <w:rPr>
          <w:rFonts w:hint="eastAsia" w:ascii="宋体" w:hAnsi="宋体" w:eastAsia="宋体" w:cs="宋体"/>
          <w:sz w:val="32"/>
          <w:szCs w:val="32"/>
          <w:highlight w:val="none"/>
          <w:u w:val="single"/>
        </w:rPr>
        <w:t>%</w:t>
      </w:r>
      <w:r>
        <w:rPr>
          <w:rFonts w:hint="eastAsia" w:ascii="宋体" w:hAnsi="宋体" w:eastAsia="宋体" w:cs="宋体"/>
          <w:sz w:val="32"/>
          <w:szCs w:val="32"/>
          <w:highlight w:val="none"/>
          <w:lang w:eastAsia="zh-CN"/>
        </w:rPr>
        <w:t>。</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lang w:val="en-US" w:eastAsia="zh-CN"/>
        </w:rPr>
        <w:t>1.</w:t>
      </w:r>
      <w:r>
        <w:rPr>
          <w:rFonts w:hint="eastAsia" w:ascii="宋体" w:hAnsi="宋体" w:eastAsia="宋体" w:cs="宋体"/>
          <w:sz w:val="32"/>
          <w:szCs w:val="32"/>
          <w:highlight w:val="none"/>
        </w:rPr>
        <w:t>收入包括：</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一般公共预算收入</w:t>
      </w:r>
      <w:r>
        <w:rPr>
          <w:rFonts w:hint="eastAsia" w:ascii="宋体" w:hAnsi="宋体" w:eastAsia="宋体" w:cs="宋体"/>
          <w:sz w:val="32"/>
          <w:szCs w:val="32"/>
          <w:u w:val="single"/>
          <w:lang w:val="en-US" w:eastAsia="zh-CN"/>
        </w:rPr>
        <w:t>664.38</w:t>
      </w:r>
      <w:r>
        <w:rPr>
          <w:rFonts w:hint="eastAsia" w:ascii="宋体" w:hAnsi="宋体" w:eastAsia="宋体" w:cs="宋体"/>
          <w:sz w:val="32"/>
          <w:szCs w:val="32"/>
          <w:highlight w:val="none"/>
        </w:rPr>
        <w:t>万元，占</w:t>
      </w:r>
      <w:r>
        <w:rPr>
          <w:rFonts w:hint="eastAsia" w:ascii="宋体" w:hAnsi="宋体" w:eastAsia="宋体" w:cs="宋体"/>
          <w:sz w:val="32"/>
          <w:szCs w:val="32"/>
          <w:highlight w:val="none"/>
          <w:u w:val="single"/>
          <w:lang w:val="en-US" w:eastAsia="zh-CN"/>
        </w:rPr>
        <w:t>78.5</w:t>
      </w:r>
      <w:r>
        <w:rPr>
          <w:rFonts w:hint="eastAsia" w:ascii="宋体" w:hAnsi="宋体" w:eastAsia="宋体" w:cs="宋体"/>
          <w:sz w:val="32"/>
          <w:szCs w:val="32"/>
          <w:highlight w:val="none"/>
          <w:u w:val="single"/>
        </w:rPr>
        <w:t>%</w:t>
      </w:r>
      <w:r>
        <w:rPr>
          <w:rFonts w:hint="eastAsia" w:ascii="宋体" w:hAnsi="宋体" w:eastAsia="宋体" w:cs="宋体"/>
          <w:sz w:val="32"/>
          <w:szCs w:val="32"/>
          <w:highlight w:val="none"/>
          <w:u w:val="single"/>
          <w:lang w:eastAsia="zh-CN"/>
        </w:rPr>
        <w:t>，</w:t>
      </w:r>
      <w:r>
        <w:rPr>
          <w:rFonts w:hint="eastAsia" w:ascii="宋体" w:hAnsi="宋体" w:eastAsia="宋体" w:cs="宋体"/>
          <w:sz w:val="32"/>
          <w:szCs w:val="32"/>
          <w:highlight w:val="none"/>
        </w:rPr>
        <w:t>政府性基金预算收入</w:t>
      </w:r>
      <w:r>
        <w:rPr>
          <w:rFonts w:hint="eastAsia" w:ascii="宋体" w:hAnsi="宋体" w:eastAsia="宋体" w:cs="宋体"/>
          <w:sz w:val="32"/>
          <w:szCs w:val="32"/>
          <w:highlight w:val="none"/>
          <w:u w:val="single"/>
          <w:lang w:val="en-US" w:eastAsia="zh-CN"/>
        </w:rPr>
        <w:t>95</w:t>
      </w:r>
      <w:r>
        <w:rPr>
          <w:rFonts w:hint="eastAsia" w:ascii="宋体" w:hAnsi="宋体" w:eastAsia="宋体" w:cs="宋体"/>
          <w:sz w:val="32"/>
          <w:szCs w:val="32"/>
          <w:highlight w:val="none"/>
        </w:rPr>
        <w:t>万元，占</w:t>
      </w:r>
      <w:r>
        <w:rPr>
          <w:rFonts w:hint="eastAsia" w:ascii="宋体" w:hAnsi="宋体" w:eastAsia="宋体" w:cs="宋体"/>
          <w:sz w:val="32"/>
          <w:szCs w:val="32"/>
          <w:highlight w:val="none"/>
          <w:u w:val="single"/>
          <w:lang w:val="en-US" w:eastAsia="zh-CN"/>
        </w:rPr>
        <w:t>11.2</w:t>
      </w:r>
      <w:r>
        <w:rPr>
          <w:rFonts w:hint="eastAsia" w:ascii="宋体" w:hAnsi="宋体" w:eastAsia="宋体" w:cs="宋体"/>
          <w:sz w:val="32"/>
          <w:szCs w:val="32"/>
          <w:highlight w:val="none"/>
          <w:u w:val="single"/>
        </w:rPr>
        <w:t>%</w:t>
      </w:r>
      <w:r>
        <w:rPr>
          <w:rFonts w:hint="eastAsia" w:ascii="宋体" w:hAnsi="宋体" w:eastAsia="宋体" w:cs="宋体"/>
          <w:sz w:val="32"/>
          <w:szCs w:val="32"/>
          <w:highlight w:val="none"/>
        </w:rPr>
        <w:t>；</w:t>
      </w:r>
      <w:r>
        <w:rPr>
          <w:rFonts w:hint="eastAsia" w:ascii="宋体" w:hAnsi="宋体" w:eastAsia="宋体" w:cs="宋体"/>
          <w:sz w:val="32"/>
          <w:szCs w:val="32"/>
        </w:rPr>
        <w:t>上年结转结余的一般公共预算收入</w:t>
      </w:r>
      <w:r>
        <w:rPr>
          <w:rFonts w:hint="eastAsia" w:ascii="宋体" w:hAnsi="宋体" w:eastAsia="宋体" w:cs="宋体"/>
          <w:sz w:val="32"/>
          <w:szCs w:val="32"/>
          <w:u w:val="single"/>
          <w:lang w:val="en-US" w:eastAsia="zh-CN"/>
        </w:rPr>
        <w:t>41.69</w:t>
      </w:r>
      <w:r>
        <w:rPr>
          <w:rFonts w:hint="eastAsia" w:ascii="宋体" w:hAnsi="宋体" w:eastAsia="宋体" w:cs="宋体"/>
          <w:sz w:val="32"/>
          <w:szCs w:val="32"/>
          <w:lang w:val="en-US" w:eastAsia="zh-CN"/>
        </w:rPr>
        <w:t>万元</w:t>
      </w:r>
      <w:r>
        <w:rPr>
          <w:rFonts w:hint="eastAsia" w:ascii="宋体" w:hAnsi="宋体" w:eastAsia="宋体" w:cs="宋体"/>
          <w:sz w:val="32"/>
          <w:szCs w:val="32"/>
        </w:rPr>
        <w:t>，占</w:t>
      </w:r>
      <w:r>
        <w:rPr>
          <w:rFonts w:hint="eastAsia" w:ascii="宋体" w:hAnsi="宋体" w:eastAsia="宋体" w:cs="宋体"/>
          <w:sz w:val="32"/>
          <w:szCs w:val="32"/>
          <w:u w:val="single"/>
          <w:lang w:val="en-US" w:eastAsia="zh-CN"/>
        </w:rPr>
        <w:t>4.9</w:t>
      </w:r>
      <w:r>
        <w:rPr>
          <w:rFonts w:hint="eastAsia" w:ascii="宋体" w:hAnsi="宋体" w:eastAsia="宋体" w:cs="宋体"/>
          <w:sz w:val="32"/>
          <w:szCs w:val="32"/>
          <w:u w:val="single"/>
        </w:rPr>
        <w:t>%</w:t>
      </w:r>
      <w:r>
        <w:rPr>
          <w:rFonts w:hint="eastAsia" w:ascii="宋体" w:hAnsi="宋体" w:eastAsia="宋体" w:cs="宋体"/>
          <w:sz w:val="32"/>
          <w:szCs w:val="32"/>
        </w:rPr>
        <w:t>；</w:t>
      </w:r>
      <w:r>
        <w:rPr>
          <w:rFonts w:hint="eastAsia" w:ascii="宋体" w:hAnsi="宋体" w:eastAsia="宋体" w:cs="宋体"/>
          <w:sz w:val="32"/>
          <w:szCs w:val="32"/>
          <w:highlight w:val="none"/>
        </w:rPr>
        <w:t>上年结转结余的政府性基金预算收入</w:t>
      </w:r>
      <w:r>
        <w:rPr>
          <w:rFonts w:hint="eastAsia" w:ascii="宋体" w:hAnsi="宋体" w:eastAsia="宋体" w:cs="宋体"/>
          <w:sz w:val="32"/>
          <w:szCs w:val="32"/>
          <w:highlight w:val="none"/>
          <w:u w:val="single"/>
          <w:lang w:val="en-US" w:eastAsia="zh-CN"/>
        </w:rPr>
        <w:t>45.56</w:t>
      </w:r>
      <w:r>
        <w:rPr>
          <w:rFonts w:hint="eastAsia" w:ascii="宋体" w:hAnsi="宋体" w:eastAsia="宋体" w:cs="宋体"/>
          <w:sz w:val="32"/>
          <w:szCs w:val="32"/>
          <w:highlight w:val="none"/>
        </w:rPr>
        <w:t>万元，占</w:t>
      </w:r>
      <w:r>
        <w:rPr>
          <w:rFonts w:hint="eastAsia" w:ascii="宋体" w:hAnsi="宋体" w:eastAsia="宋体" w:cs="宋体"/>
          <w:sz w:val="32"/>
          <w:szCs w:val="32"/>
          <w:highlight w:val="none"/>
          <w:u w:val="single"/>
          <w:lang w:val="en-US" w:eastAsia="zh-CN"/>
        </w:rPr>
        <w:t>5.4</w:t>
      </w:r>
      <w:r>
        <w:rPr>
          <w:rFonts w:hint="eastAsia" w:ascii="宋体" w:hAnsi="宋体" w:eastAsia="宋体" w:cs="宋体"/>
          <w:sz w:val="32"/>
          <w:szCs w:val="32"/>
          <w:highlight w:val="none"/>
          <w:u w:val="single"/>
        </w:rPr>
        <w:t>%</w:t>
      </w:r>
      <w:r>
        <w:rPr>
          <w:rFonts w:hint="eastAsia" w:ascii="宋体" w:hAnsi="宋体" w:eastAsia="宋体" w:cs="宋体"/>
          <w:sz w:val="32"/>
          <w:szCs w:val="32"/>
          <w:highlight w:val="none"/>
        </w:rPr>
        <w:t>；</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lang w:val="en-US" w:eastAsia="zh-CN"/>
        </w:rPr>
        <w:t>2.</w:t>
      </w:r>
      <w:r>
        <w:rPr>
          <w:rFonts w:hint="eastAsia" w:ascii="宋体" w:hAnsi="宋体" w:eastAsia="宋体" w:cs="宋体"/>
          <w:sz w:val="32"/>
          <w:szCs w:val="32"/>
          <w:highlight w:val="none"/>
        </w:rPr>
        <w:t>支出包括:</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（1</w:t>
      </w:r>
      <w:r>
        <w:rPr>
          <w:rFonts w:hint="eastAsia" w:ascii="宋体" w:hAnsi="宋体" w:eastAsia="宋体" w:cs="宋体"/>
          <w:sz w:val="32"/>
          <w:szCs w:val="32"/>
          <w:highlight w:val="none"/>
        </w:rPr>
        <w:t>）社会保障和就业支出</w:t>
      </w:r>
      <w:r>
        <w:rPr>
          <w:rFonts w:hint="eastAsia" w:ascii="宋体" w:hAnsi="宋体" w:eastAsia="宋体" w:cs="宋体"/>
          <w:sz w:val="32"/>
          <w:szCs w:val="32"/>
          <w:highlight w:val="none"/>
          <w:u w:val="single"/>
          <w:lang w:val="en-US" w:eastAsia="zh-CN"/>
        </w:rPr>
        <w:t>673.41</w:t>
      </w:r>
      <w:r>
        <w:rPr>
          <w:rFonts w:hint="eastAsia" w:ascii="宋体" w:hAnsi="宋体" w:eastAsia="宋体" w:cs="宋体"/>
          <w:sz w:val="32"/>
          <w:szCs w:val="32"/>
          <w:highlight w:val="none"/>
        </w:rPr>
        <w:t>万元，主要用于人员</w:t>
      </w:r>
      <w:r>
        <w:rPr>
          <w:rFonts w:hint="eastAsia" w:ascii="宋体" w:hAnsi="宋体" w:eastAsia="宋体" w:cs="宋体"/>
          <w:sz w:val="32"/>
          <w:szCs w:val="32"/>
        </w:rPr>
        <w:t>支出、日常经费支出和项目支出。与上年相比</w:t>
      </w:r>
      <w:r>
        <w:rPr>
          <w:rFonts w:hint="eastAsia" w:ascii="宋体" w:hAnsi="宋体" w:eastAsia="宋体" w:cs="宋体"/>
          <w:sz w:val="32"/>
          <w:szCs w:val="32"/>
          <w:lang w:val="en-US" w:eastAsia="zh-CN"/>
        </w:rPr>
        <w:t>减少</w:t>
      </w:r>
      <w:r>
        <w:rPr>
          <w:rFonts w:hint="eastAsia" w:ascii="宋体" w:hAnsi="宋体" w:eastAsia="宋体" w:cs="宋体"/>
          <w:sz w:val="32"/>
          <w:szCs w:val="32"/>
          <w:u w:val="single"/>
          <w:lang w:val="en-US" w:eastAsia="zh-CN"/>
        </w:rPr>
        <w:t>1.91</w:t>
      </w:r>
      <w:r>
        <w:rPr>
          <w:rFonts w:hint="eastAsia" w:ascii="宋体" w:hAnsi="宋体" w:eastAsia="宋体" w:cs="宋体"/>
          <w:sz w:val="32"/>
          <w:szCs w:val="32"/>
        </w:rPr>
        <w:t>万元，</w:t>
      </w:r>
      <w:r>
        <w:rPr>
          <w:rFonts w:hint="eastAsia" w:ascii="宋体" w:hAnsi="宋体" w:eastAsia="宋体" w:cs="宋体"/>
          <w:sz w:val="32"/>
          <w:szCs w:val="32"/>
          <w:lang w:val="en-US" w:eastAsia="zh-CN"/>
        </w:rPr>
        <w:t>减少</w:t>
      </w:r>
      <w:r>
        <w:rPr>
          <w:rFonts w:hint="eastAsia" w:ascii="宋体" w:hAnsi="宋体" w:eastAsia="宋体" w:cs="宋体"/>
          <w:sz w:val="32"/>
          <w:szCs w:val="32"/>
          <w:u w:val="single"/>
          <w:lang w:val="en-US" w:eastAsia="zh-CN"/>
        </w:rPr>
        <w:t>0.3</w:t>
      </w:r>
      <w:r>
        <w:rPr>
          <w:rFonts w:hint="eastAsia" w:ascii="宋体" w:hAnsi="宋体" w:eastAsia="宋体" w:cs="宋体"/>
          <w:sz w:val="32"/>
          <w:szCs w:val="32"/>
          <w:u w:val="single"/>
        </w:rPr>
        <w:t>%</w:t>
      </w:r>
      <w:r>
        <w:rPr>
          <w:rFonts w:hint="eastAsia" w:ascii="宋体" w:hAnsi="宋体" w:eastAsia="宋体" w:cs="宋体"/>
          <w:sz w:val="32"/>
          <w:szCs w:val="32"/>
        </w:rPr>
        <w:t>。主要原因</w:t>
      </w:r>
      <w:r>
        <w:rPr>
          <w:rFonts w:hint="eastAsia" w:ascii="宋体" w:hAnsi="宋体" w:eastAsia="宋体" w:cs="宋体"/>
          <w:sz w:val="32"/>
          <w:szCs w:val="32"/>
          <w:lang w:val="en-US" w:eastAsia="zh-CN"/>
        </w:rPr>
        <w:t>本年在职职工工资预算减少，</w:t>
      </w:r>
      <w:r>
        <w:rPr>
          <w:rFonts w:hint="eastAsia" w:ascii="宋体" w:hAnsi="宋体" w:eastAsia="宋体" w:cs="宋体"/>
          <w:sz w:val="32"/>
          <w:szCs w:val="32"/>
        </w:rPr>
        <w:t>导致本年</w:t>
      </w:r>
      <w:r>
        <w:rPr>
          <w:rFonts w:hint="eastAsia" w:ascii="宋体" w:hAnsi="宋体" w:eastAsia="宋体" w:cs="宋体"/>
          <w:sz w:val="32"/>
          <w:szCs w:val="32"/>
          <w:lang w:val="en-US" w:eastAsia="zh-CN"/>
        </w:rPr>
        <w:t>预算支出减少</w:t>
      </w:r>
      <w:r>
        <w:rPr>
          <w:rFonts w:hint="eastAsia" w:ascii="宋体" w:hAnsi="宋体" w:eastAsia="宋体" w:cs="宋体"/>
          <w:sz w:val="32"/>
          <w:szCs w:val="32"/>
        </w:rPr>
        <w:t>。</w:t>
      </w:r>
    </w:p>
    <w:p>
      <w:pPr>
        <w:pStyle w:val="10"/>
        <w:pageBreakBefore w:val="0"/>
        <w:tabs>
          <w:tab w:val="left" w:pos="3792"/>
        </w:tabs>
        <w:kinsoku/>
        <w:wordWrap/>
        <w:overflowPunct/>
        <w:topLinePunct w:val="0"/>
        <w:bidi w:val="0"/>
        <w:spacing w:after="0" w:line="360" w:lineRule="auto"/>
        <w:ind w:firstLine="640" w:firstLineChars="200"/>
        <w:rPr>
          <w:rFonts w:hint="eastAsia" w:ascii="宋体" w:hAnsi="宋体" w:eastAsia="宋体" w:cs="宋体"/>
          <w:sz w:val="32"/>
          <w:szCs w:val="32"/>
          <w:lang w:val="en-US" w:eastAsia="zh-CN"/>
        </w:rPr>
      </w:pPr>
      <w:r>
        <w:rPr>
          <w:rFonts w:hint="eastAsia" w:ascii="宋体" w:hAnsi="宋体" w:eastAsia="宋体" w:cs="宋体"/>
          <w:sz w:val="32"/>
          <w:szCs w:val="32"/>
        </w:rPr>
        <w:t>（2）卫生健康支出支出</w:t>
      </w:r>
      <w:r>
        <w:rPr>
          <w:rFonts w:hint="eastAsia" w:ascii="宋体" w:hAnsi="宋体" w:eastAsia="宋体" w:cs="宋体"/>
          <w:sz w:val="32"/>
          <w:szCs w:val="32"/>
          <w:u w:val="single"/>
          <w:lang w:val="en-US" w:eastAsia="zh-CN"/>
        </w:rPr>
        <w:t>10.2</w:t>
      </w:r>
      <w:r>
        <w:rPr>
          <w:rFonts w:hint="eastAsia" w:ascii="宋体" w:hAnsi="宋体" w:eastAsia="宋体" w:cs="宋体"/>
          <w:sz w:val="32"/>
          <w:szCs w:val="32"/>
        </w:rPr>
        <w:t>万元，主要用于在职职工交纳医保医疗费用。与上年相比</w:t>
      </w:r>
      <w:r>
        <w:rPr>
          <w:rFonts w:hint="eastAsia" w:ascii="宋体" w:hAnsi="宋体" w:eastAsia="宋体" w:cs="宋体"/>
          <w:sz w:val="32"/>
          <w:szCs w:val="32"/>
          <w:lang w:val="en-US" w:eastAsia="zh-CN"/>
        </w:rPr>
        <w:t>减少</w:t>
      </w:r>
      <w:r>
        <w:rPr>
          <w:rFonts w:hint="eastAsia" w:ascii="宋体" w:hAnsi="宋体" w:eastAsia="宋体" w:cs="宋体"/>
          <w:sz w:val="32"/>
          <w:szCs w:val="32"/>
          <w:u w:val="single"/>
          <w:lang w:val="en-US" w:eastAsia="zh-CN"/>
        </w:rPr>
        <w:t>8.49</w:t>
      </w:r>
      <w:r>
        <w:rPr>
          <w:rFonts w:hint="eastAsia" w:ascii="宋体" w:hAnsi="宋体" w:eastAsia="宋体" w:cs="宋体"/>
          <w:sz w:val="32"/>
          <w:szCs w:val="32"/>
        </w:rPr>
        <w:t>万元，</w:t>
      </w:r>
      <w:r>
        <w:rPr>
          <w:rFonts w:hint="eastAsia" w:ascii="宋体" w:hAnsi="宋体" w:eastAsia="宋体" w:cs="宋体"/>
          <w:sz w:val="32"/>
          <w:szCs w:val="32"/>
          <w:lang w:val="en-US" w:eastAsia="zh-CN"/>
        </w:rPr>
        <w:t>减少</w:t>
      </w:r>
      <w:r>
        <w:rPr>
          <w:rFonts w:hint="eastAsia" w:ascii="宋体" w:hAnsi="宋体" w:eastAsia="宋体" w:cs="宋体"/>
          <w:sz w:val="32"/>
          <w:szCs w:val="32"/>
          <w:u w:val="single"/>
          <w:lang w:val="en-US" w:eastAsia="zh-CN"/>
        </w:rPr>
        <w:t>45.43</w:t>
      </w:r>
      <w:r>
        <w:rPr>
          <w:rFonts w:hint="eastAsia" w:ascii="宋体" w:hAnsi="宋体" w:eastAsia="宋体" w:cs="宋体"/>
          <w:sz w:val="32"/>
          <w:szCs w:val="32"/>
          <w:u w:val="single"/>
        </w:rPr>
        <w:t>%</w:t>
      </w:r>
      <w:r>
        <w:rPr>
          <w:rFonts w:hint="eastAsia" w:ascii="宋体" w:hAnsi="宋体" w:eastAsia="宋体" w:cs="宋体"/>
          <w:sz w:val="32"/>
          <w:szCs w:val="32"/>
        </w:rPr>
        <w:t>。主要原因</w:t>
      </w:r>
      <w:r>
        <w:rPr>
          <w:rFonts w:hint="eastAsia" w:ascii="宋体" w:hAnsi="宋体" w:eastAsia="宋体" w:cs="宋体"/>
          <w:sz w:val="32"/>
          <w:szCs w:val="32"/>
          <w:lang w:val="en-US" w:eastAsia="zh-CN"/>
        </w:rPr>
        <w:t>为上</w:t>
      </w:r>
      <w:r>
        <w:rPr>
          <w:rFonts w:hint="eastAsia" w:ascii="宋体" w:hAnsi="宋体" w:eastAsia="宋体" w:cs="宋体"/>
          <w:sz w:val="32"/>
          <w:szCs w:val="32"/>
        </w:rPr>
        <w:t>年</w:t>
      </w:r>
      <w:r>
        <w:rPr>
          <w:rFonts w:hint="eastAsia" w:ascii="宋体" w:hAnsi="宋体" w:eastAsia="宋体" w:cs="宋体"/>
          <w:sz w:val="32"/>
          <w:szCs w:val="32"/>
          <w:lang w:val="en-US" w:eastAsia="zh-CN"/>
        </w:rPr>
        <w:t>退休四名职工</w:t>
      </w:r>
      <w:r>
        <w:rPr>
          <w:rFonts w:hint="eastAsia" w:ascii="宋体" w:hAnsi="宋体" w:eastAsia="宋体" w:cs="宋体"/>
          <w:sz w:val="32"/>
          <w:szCs w:val="32"/>
        </w:rPr>
        <w:t>交纳医保医疗费用</w:t>
      </w:r>
      <w:r>
        <w:rPr>
          <w:rFonts w:hint="eastAsia" w:ascii="宋体" w:hAnsi="宋体" w:eastAsia="宋体" w:cs="宋体"/>
          <w:sz w:val="32"/>
          <w:szCs w:val="32"/>
          <w:lang w:val="en-US" w:eastAsia="zh-CN"/>
        </w:rPr>
        <w:t>基数高，本年新入职职工</w:t>
      </w:r>
      <w:r>
        <w:rPr>
          <w:rFonts w:hint="eastAsia" w:ascii="宋体" w:hAnsi="宋体" w:eastAsia="宋体" w:cs="宋体"/>
          <w:sz w:val="32"/>
          <w:szCs w:val="32"/>
        </w:rPr>
        <w:t>交纳医保医疗费用</w:t>
      </w:r>
      <w:r>
        <w:rPr>
          <w:rFonts w:hint="eastAsia" w:ascii="宋体" w:hAnsi="宋体" w:eastAsia="宋体" w:cs="宋体"/>
          <w:sz w:val="32"/>
          <w:szCs w:val="32"/>
          <w:lang w:val="en-US" w:eastAsia="zh-CN"/>
        </w:rPr>
        <w:t>基数低，</w:t>
      </w:r>
      <w:r>
        <w:rPr>
          <w:rFonts w:hint="eastAsia" w:ascii="宋体" w:hAnsi="宋体" w:eastAsia="宋体" w:cs="宋体"/>
          <w:sz w:val="32"/>
          <w:szCs w:val="32"/>
        </w:rPr>
        <w:t>导致本年</w:t>
      </w:r>
      <w:r>
        <w:rPr>
          <w:rFonts w:hint="eastAsia" w:ascii="宋体" w:hAnsi="宋体" w:eastAsia="宋体" w:cs="宋体"/>
          <w:sz w:val="32"/>
          <w:szCs w:val="32"/>
          <w:lang w:val="en-US" w:eastAsia="zh-CN"/>
        </w:rPr>
        <w:t>预算支出减少。</w:t>
      </w:r>
    </w:p>
    <w:p>
      <w:pPr>
        <w:pStyle w:val="10"/>
        <w:pageBreakBefore w:val="0"/>
        <w:tabs>
          <w:tab w:val="left" w:pos="3792"/>
        </w:tabs>
        <w:kinsoku/>
        <w:wordWrap/>
        <w:overflowPunct/>
        <w:topLinePunct w:val="0"/>
        <w:bidi w:val="0"/>
        <w:spacing w:after="0" w:line="360" w:lineRule="auto"/>
        <w:ind w:firstLine="640" w:firstLineChars="200"/>
        <w:rPr>
          <w:rFonts w:hint="eastAsia" w:ascii="宋体" w:hAnsi="宋体" w:eastAsia="宋体" w:cs="宋体"/>
          <w:sz w:val="32"/>
          <w:szCs w:val="32"/>
          <w:lang w:eastAsia="zh-CN"/>
        </w:rPr>
      </w:pPr>
      <w:r>
        <w:rPr>
          <w:rFonts w:hint="eastAsia" w:ascii="宋体" w:hAnsi="宋体" w:eastAsia="宋体" w:cs="宋体"/>
          <w:sz w:val="32"/>
          <w:szCs w:val="32"/>
        </w:rPr>
        <w:t>（3）住房保障支出</w:t>
      </w:r>
      <w:r>
        <w:rPr>
          <w:rFonts w:hint="eastAsia" w:ascii="宋体" w:hAnsi="宋体" w:eastAsia="宋体" w:cs="宋体"/>
          <w:sz w:val="32"/>
          <w:szCs w:val="32"/>
          <w:u w:val="single"/>
          <w:lang w:val="en-US" w:eastAsia="zh-CN"/>
        </w:rPr>
        <w:t>22.46</w:t>
      </w:r>
      <w:r>
        <w:rPr>
          <w:rFonts w:hint="eastAsia" w:ascii="宋体" w:hAnsi="宋体" w:eastAsia="宋体" w:cs="宋体"/>
          <w:sz w:val="32"/>
          <w:szCs w:val="32"/>
        </w:rPr>
        <w:t>万元，主要用于在职职工交纳住房公积金</w:t>
      </w:r>
      <w:r>
        <w:rPr>
          <w:rFonts w:hint="eastAsia" w:ascii="宋体" w:hAnsi="宋体" w:eastAsia="宋体" w:cs="宋体"/>
          <w:sz w:val="32"/>
          <w:szCs w:val="32"/>
          <w:lang w:val="en-US" w:eastAsia="zh-CN"/>
        </w:rPr>
        <w:t>支出和新职工购房补贴支出</w:t>
      </w:r>
      <w:r>
        <w:rPr>
          <w:rFonts w:hint="eastAsia" w:ascii="宋体" w:hAnsi="宋体" w:eastAsia="宋体" w:cs="宋体"/>
          <w:sz w:val="32"/>
          <w:szCs w:val="32"/>
        </w:rPr>
        <w:t>。与上年相比</w:t>
      </w:r>
      <w:r>
        <w:rPr>
          <w:rFonts w:hint="eastAsia" w:ascii="宋体" w:hAnsi="宋体" w:eastAsia="宋体" w:cs="宋体"/>
          <w:sz w:val="32"/>
          <w:szCs w:val="32"/>
          <w:lang w:val="en-US" w:eastAsia="zh-CN"/>
        </w:rPr>
        <w:t>减少</w:t>
      </w:r>
      <w:r>
        <w:rPr>
          <w:rFonts w:hint="eastAsia" w:ascii="宋体" w:hAnsi="宋体" w:eastAsia="宋体" w:cs="宋体"/>
          <w:sz w:val="32"/>
          <w:szCs w:val="32"/>
          <w:u w:val="single"/>
          <w:lang w:val="en-US" w:eastAsia="zh-CN"/>
        </w:rPr>
        <w:t>2.8</w:t>
      </w:r>
      <w:r>
        <w:rPr>
          <w:rFonts w:hint="eastAsia" w:ascii="宋体" w:hAnsi="宋体" w:eastAsia="宋体" w:cs="宋体"/>
          <w:sz w:val="32"/>
          <w:szCs w:val="32"/>
        </w:rPr>
        <w:t>万元，</w:t>
      </w:r>
      <w:r>
        <w:rPr>
          <w:rFonts w:hint="eastAsia" w:ascii="宋体" w:hAnsi="宋体" w:eastAsia="宋体" w:cs="宋体"/>
          <w:sz w:val="32"/>
          <w:szCs w:val="32"/>
          <w:lang w:val="en-US" w:eastAsia="zh-CN"/>
        </w:rPr>
        <w:t>减少</w:t>
      </w:r>
      <w:r>
        <w:rPr>
          <w:rFonts w:hint="eastAsia" w:ascii="宋体" w:hAnsi="宋体" w:eastAsia="宋体" w:cs="宋体"/>
          <w:sz w:val="32"/>
          <w:szCs w:val="32"/>
          <w:u w:val="single"/>
          <w:lang w:val="en-US" w:eastAsia="zh-CN"/>
        </w:rPr>
        <w:t>11.08</w:t>
      </w:r>
      <w:r>
        <w:rPr>
          <w:rFonts w:hint="eastAsia" w:ascii="宋体" w:hAnsi="宋体" w:eastAsia="宋体" w:cs="宋体"/>
          <w:sz w:val="32"/>
          <w:szCs w:val="32"/>
          <w:u w:val="single"/>
        </w:rPr>
        <w:t>%</w:t>
      </w:r>
      <w:r>
        <w:rPr>
          <w:rFonts w:hint="eastAsia" w:ascii="宋体" w:hAnsi="宋体" w:eastAsia="宋体" w:cs="宋体"/>
          <w:sz w:val="32"/>
          <w:szCs w:val="32"/>
        </w:rPr>
        <w:t>。主要原因</w:t>
      </w:r>
      <w:r>
        <w:rPr>
          <w:rFonts w:hint="eastAsia" w:ascii="宋体" w:hAnsi="宋体" w:eastAsia="宋体" w:cs="宋体"/>
          <w:sz w:val="32"/>
          <w:szCs w:val="32"/>
          <w:lang w:val="en-US" w:eastAsia="zh-CN"/>
        </w:rPr>
        <w:t>为职工工资缴费基数减少，</w:t>
      </w:r>
      <w:r>
        <w:rPr>
          <w:rFonts w:hint="eastAsia" w:ascii="宋体" w:hAnsi="宋体" w:eastAsia="宋体" w:cs="宋体"/>
          <w:sz w:val="32"/>
          <w:szCs w:val="32"/>
        </w:rPr>
        <w:t>职工交纳住房公积金</w:t>
      </w:r>
      <w:r>
        <w:rPr>
          <w:rFonts w:hint="eastAsia" w:ascii="宋体" w:hAnsi="宋体" w:eastAsia="宋体" w:cs="宋体"/>
          <w:sz w:val="32"/>
          <w:szCs w:val="32"/>
          <w:lang w:val="en-US" w:eastAsia="zh-CN"/>
        </w:rPr>
        <w:t>减少，本年新职工购房补贴由按工资比例发放改为定额发放，导致购房补贴支出减少</w:t>
      </w:r>
      <w:r>
        <w:rPr>
          <w:rFonts w:hint="eastAsia" w:ascii="宋体" w:hAnsi="宋体" w:eastAsia="宋体" w:cs="宋体"/>
          <w:sz w:val="32"/>
          <w:szCs w:val="32"/>
        </w:rPr>
        <w:t>。</w:t>
      </w:r>
    </w:p>
    <w:p>
      <w:pPr>
        <w:pStyle w:val="10"/>
        <w:pageBreakBefore w:val="0"/>
        <w:tabs>
          <w:tab w:val="left" w:pos="3792"/>
        </w:tabs>
        <w:kinsoku/>
        <w:wordWrap/>
        <w:overflowPunct/>
        <w:topLinePunct w:val="0"/>
        <w:bidi w:val="0"/>
        <w:spacing w:after="0" w:line="360" w:lineRule="auto"/>
        <w:ind w:firstLine="640" w:firstLineChars="200"/>
        <w:rPr>
          <w:rFonts w:hint="eastAsia" w:ascii="宋体" w:hAnsi="宋体" w:eastAsia="宋体" w:cs="宋体"/>
          <w:sz w:val="32"/>
          <w:szCs w:val="32"/>
          <w:highlight w:val="red"/>
        </w:rPr>
      </w:pPr>
      <w:r>
        <w:rPr>
          <w:rFonts w:hint="eastAsia" w:ascii="宋体" w:hAnsi="宋体" w:eastAsia="宋体" w:cs="宋体"/>
          <w:sz w:val="32"/>
          <w:szCs w:val="32"/>
        </w:rPr>
        <w:t>（4）其他支出</w:t>
      </w:r>
      <w:r>
        <w:rPr>
          <w:rFonts w:hint="eastAsia" w:ascii="宋体" w:hAnsi="宋体" w:eastAsia="宋体" w:cs="宋体"/>
          <w:sz w:val="32"/>
          <w:szCs w:val="32"/>
          <w:u w:val="single"/>
          <w:lang w:val="en-US" w:eastAsia="zh-CN"/>
        </w:rPr>
        <w:t>140.56</w:t>
      </w:r>
      <w:r>
        <w:rPr>
          <w:rFonts w:hint="eastAsia" w:ascii="宋体" w:hAnsi="宋体" w:eastAsia="宋体" w:cs="宋体"/>
          <w:sz w:val="32"/>
          <w:szCs w:val="32"/>
        </w:rPr>
        <w:t>万元，用于</w:t>
      </w:r>
      <w:r>
        <w:rPr>
          <w:rFonts w:hint="eastAsia" w:ascii="宋体" w:hAnsi="宋体" w:eastAsia="宋体" w:cs="宋体"/>
          <w:sz w:val="32"/>
          <w:szCs w:val="32"/>
          <w:lang w:val="en-US" w:eastAsia="zh-CN"/>
        </w:rPr>
        <w:t>保障</w:t>
      </w:r>
      <w:r>
        <w:rPr>
          <w:rFonts w:hint="eastAsia" w:ascii="宋体" w:hAnsi="宋体" w:eastAsia="宋体" w:cs="宋体"/>
          <w:sz w:val="32"/>
          <w:szCs w:val="32"/>
        </w:rPr>
        <w:t>单位</w:t>
      </w:r>
      <w:r>
        <w:rPr>
          <w:rFonts w:hint="eastAsia" w:ascii="宋体" w:hAnsi="宋体" w:eastAsia="宋体" w:cs="宋体"/>
          <w:sz w:val="32"/>
          <w:szCs w:val="32"/>
          <w:lang w:val="en-US" w:eastAsia="zh-CN"/>
        </w:rPr>
        <w:t>消防改造资金、</w:t>
      </w:r>
      <w:r>
        <w:rPr>
          <w:rFonts w:hint="eastAsia" w:ascii="宋体" w:hAnsi="宋体" w:eastAsia="宋体" w:cs="宋体"/>
          <w:sz w:val="32"/>
          <w:szCs w:val="32"/>
        </w:rPr>
        <w:t>购买</w:t>
      </w:r>
      <w:r>
        <w:rPr>
          <w:rFonts w:hint="eastAsia" w:ascii="宋体" w:hAnsi="宋体" w:eastAsia="宋体" w:cs="宋体"/>
          <w:sz w:val="32"/>
          <w:szCs w:val="32"/>
          <w:lang w:val="en-US" w:eastAsia="zh-CN"/>
        </w:rPr>
        <w:t>单位适老化家具、养老机构责任保险</w:t>
      </w:r>
      <w:r>
        <w:rPr>
          <w:rFonts w:hint="eastAsia" w:ascii="宋体" w:hAnsi="宋体" w:eastAsia="宋体" w:cs="宋体"/>
          <w:sz w:val="32"/>
          <w:szCs w:val="32"/>
        </w:rPr>
        <w:t>费用。与上年相比</w:t>
      </w:r>
      <w:r>
        <w:rPr>
          <w:rFonts w:hint="eastAsia" w:ascii="宋体" w:hAnsi="宋体" w:eastAsia="宋体" w:cs="宋体"/>
          <w:sz w:val="32"/>
          <w:szCs w:val="32"/>
          <w:lang w:val="en-US" w:eastAsia="zh-CN"/>
        </w:rPr>
        <w:t>减少</w:t>
      </w:r>
      <w:r>
        <w:rPr>
          <w:rFonts w:hint="eastAsia" w:ascii="宋体" w:hAnsi="宋体" w:eastAsia="宋体" w:cs="宋体"/>
          <w:sz w:val="32"/>
          <w:szCs w:val="32"/>
          <w:u w:val="single"/>
          <w:lang w:val="en-US" w:eastAsia="zh-CN"/>
        </w:rPr>
        <w:t>27.45</w:t>
      </w:r>
      <w:r>
        <w:rPr>
          <w:rFonts w:hint="eastAsia" w:ascii="宋体" w:hAnsi="宋体" w:eastAsia="宋体" w:cs="宋体"/>
          <w:sz w:val="32"/>
          <w:szCs w:val="32"/>
        </w:rPr>
        <w:t>万元，</w:t>
      </w:r>
      <w:r>
        <w:rPr>
          <w:rFonts w:hint="eastAsia" w:ascii="宋体" w:hAnsi="宋体" w:eastAsia="宋体" w:cs="宋体"/>
          <w:sz w:val="32"/>
          <w:szCs w:val="32"/>
          <w:lang w:val="en-US" w:eastAsia="zh-CN"/>
        </w:rPr>
        <w:t>减少</w:t>
      </w:r>
      <w:r>
        <w:rPr>
          <w:rFonts w:hint="eastAsia" w:ascii="宋体" w:hAnsi="宋体" w:eastAsia="宋体" w:cs="宋体"/>
          <w:sz w:val="32"/>
          <w:szCs w:val="32"/>
          <w:u w:val="single"/>
          <w:lang w:val="en-US" w:eastAsia="zh-CN"/>
        </w:rPr>
        <w:t>16.33</w:t>
      </w:r>
      <w:r>
        <w:rPr>
          <w:rFonts w:hint="eastAsia" w:ascii="宋体" w:hAnsi="宋体" w:eastAsia="宋体" w:cs="宋体"/>
          <w:sz w:val="32"/>
          <w:szCs w:val="32"/>
          <w:u w:val="single"/>
        </w:rPr>
        <w:t>%</w:t>
      </w:r>
      <w:r>
        <w:rPr>
          <w:rFonts w:hint="eastAsia" w:ascii="宋体" w:hAnsi="宋体" w:eastAsia="宋体" w:cs="宋体"/>
          <w:sz w:val="32"/>
          <w:szCs w:val="32"/>
        </w:rPr>
        <w:t>。主要原因为</w:t>
      </w:r>
      <w:r>
        <w:rPr>
          <w:rFonts w:hint="eastAsia" w:ascii="宋体" w:hAnsi="宋体" w:eastAsia="宋体" w:cs="宋体"/>
          <w:sz w:val="32"/>
          <w:szCs w:val="32"/>
          <w:lang w:val="en-US" w:eastAsia="zh-CN"/>
        </w:rPr>
        <w:t>有一笔用于购买适老化家具的政府性基金在本年支付导致费用减少</w:t>
      </w:r>
      <w:r>
        <w:rPr>
          <w:rFonts w:hint="eastAsia" w:ascii="宋体" w:hAnsi="宋体" w:eastAsia="宋体" w:cs="宋体"/>
          <w:sz w:val="32"/>
          <w:szCs w:val="32"/>
        </w:rPr>
        <w:t>。</w:t>
      </w:r>
    </w:p>
    <w:p>
      <w:pPr>
        <w:pageBreakBefore w:val="0"/>
        <w:kinsoku/>
        <w:wordWrap/>
        <w:overflowPunct/>
        <w:topLinePunct w:val="0"/>
        <w:bidi w:val="0"/>
        <w:spacing w:line="360" w:lineRule="auto"/>
        <w:ind w:firstLine="643" w:firstLineChars="200"/>
        <w:outlineLvl w:val="0"/>
        <w:rPr>
          <w:rFonts w:hint="eastAsia" w:ascii="宋体" w:hAnsi="宋体" w:eastAsia="宋体" w:cs="宋体"/>
          <w:b/>
          <w:bCs/>
          <w:sz w:val="32"/>
          <w:szCs w:val="36"/>
          <w:highlight w:val="none"/>
        </w:rPr>
      </w:pPr>
      <w:r>
        <w:rPr>
          <w:rFonts w:hint="eastAsia" w:ascii="宋体" w:hAnsi="宋体" w:eastAsia="宋体" w:cs="宋体"/>
          <w:b/>
          <w:bCs/>
          <w:sz w:val="32"/>
          <w:szCs w:val="36"/>
          <w:highlight w:val="none"/>
        </w:rPr>
        <w:t>五、一般公共预算支出预算情况说明</w:t>
      </w:r>
    </w:p>
    <w:p>
      <w:pPr>
        <w:pStyle w:val="10"/>
        <w:pageBreakBefore w:val="0"/>
        <w:tabs>
          <w:tab w:val="left" w:pos="2671"/>
          <w:tab w:val="left" w:pos="5000"/>
          <w:tab w:val="left" w:pos="6190"/>
        </w:tabs>
        <w:kinsoku/>
        <w:wordWrap/>
        <w:overflowPunct/>
        <w:topLinePunct w:val="0"/>
        <w:bidi w:val="0"/>
        <w:spacing w:after="0" w:line="360" w:lineRule="auto"/>
        <w:ind w:firstLine="640" w:firstLineChars="200"/>
        <w:rPr>
          <w:rFonts w:hint="eastAsia" w:ascii="宋体" w:hAnsi="宋体" w:eastAsia="宋体" w:cs="宋体"/>
          <w:sz w:val="32"/>
          <w:szCs w:val="32"/>
          <w:highlight w:val="yellow"/>
        </w:rPr>
      </w:pPr>
      <w:r>
        <w:rPr>
          <w:rFonts w:hint="eastAsia" w:ascii="宋体" w:hAnsi="宋体" w:eastAsia="宋体" w:cs="宋体"/>
          <w:sz w:val="32"/>
          <w:szCs w:val="32"/>
          <w:u w:val="single"/>
          <w:lang w:val="en-US" w:eastAsia="zh-CN"/>
        </w:rPr>
        <w:t>锡林郭勒盟社会福利院</w:t>
      </w:r>
      <w:r>
        <w:rPr>
          <w:rFonts w:hint="eastAsia" w:ascii="宋体" w:hAnsi="宋体" w:eastAsia="宋体" w:cs="宋体"/>
          <w:sz w:val="32"/>
          <w:szCs w:val="32"/>
          <w:lang w:val="en-US" w:eastAsia="zh-CN"/>
        </w:rPr>
        <w:t>2025</w:t>
      </w:r>
      <w:r>
        <w:rPr>
          <w:rFonts w:hint="eastAsia" w:ascii="宋体" w:hAnsi="宋体" w:eastAsia="宋体" w:cs="宋体"/>
          <w:sz w:val="32"/>
          <w:szCs w:val="32"/>
        </w:rPr>
        <w:t>年一般公共预算财政拨款支出预算</w:t>
      </w:r>
      <w:r>
        <w:rPr>
          <w:rFonts w:hint="eastAsia" w:ascii="宋体" w:hAnsi="宋体" w:eastAsia="宋体" w:cs="宋体"/>
          <w:sz w:val="32"/>
          <w:szCs w:val="32"/>
          <w:highlight w:val="none"/>
          <w:u w:val="single"/>
          <w:lang w:val="en-US" w:eastAsia="zh-CN"/>
        </w:rPr>
        <w:t>673.4</w:t>
      </w:r>
      <w:r>
        <w:rPr>
          <w:rFonts w:hint="eastAsia" w:ascii="宋体" w:hAnsi="宋体" w:eastAsia="宋体" w:cs="宋体"/>
          <w:sz w:val="32"/>
          <w:szCs w:val="32"/>
          <w:highlight w:val="none"/>
        </w:rPr>
        <w:t>万元，与上年相比</w:t>
      </w:r>
      <w:r>
        <w:rPr>
          <w:rFonts w:hint="eastAsia" w:ascii="宋体" w:hAnsi="宋体" w:eastAsia="宋体" w:cs="宋体"/>
          <w:sz w:val="32"/>
          <w:szCs w:val="32"/>
          <w:highlight w:val="none"/>
          <w:lang w:val="en-US" w:eastAsia="zh-CN"/>
        </w:rPr>
        <w:t>减少</w:t>
      </w:r>
      <w:r>
        <w:rPr>
          <w:rFonts w:hint="eastAsia" w:ascii="宋体" w:hAnsi="宋体" w:eastAsia="宋体" w:cs="宋体"/>
          <w:sz w:val="32"/>
          <w:szCs w:val="32"/>
          <w:highlight w:val="none"/>
          <w:u w:val="single"/>
          <w:lang w:val="en-US" w:eastAsia="zh-CN"/>
        </w:rPr>
        <w:t>45.87</w:t>
      </w:r>
      <w:r>
        <w:rPr>
          <w:rFonts w:hint="eastAsia" w:ascii="宋体" w:hAnsi="宋体" w:eastAsia="宋体" w:cs="宋体"/>
          <w:sz w:val="32"/>
          <w:szCs w:val="32"/>
          <w:highlight w:val="none"/>
        </w:rPr>
        <w:t>万元，</w:t>
      </w:r>
      <w:r>
        <w:rPr>
          <w:rFonts w:hint="eastAsia" w:ascii="宋体" w:hAnsi="宋体" w:eastAsia="宋体" w:cs="宋体"/>
          <w:sz w:val="32"/>
          <w:szCs w:val="32"/>
          <w:highlight w:val="none"/>
          <w:lang w:val="en-US" w:eastAsia="zh-CN"/>
        </w:rPr>
        <w:t>减少</w:t>
      </w:r>
      <w:r>
        <w:rPr>
          <w:rFonts w:hint="eastAsia" w:ascii="宋体" w:hAnsi="宋体" w:eastAsia="宋体" w:cs="宋体"/>
          <w:sz w:val="32"/>
          <w:szCs w:val="32"/>
          <w:highlight w:val="none"/>
          <w:u w:val="single"/>
          <w:lang w:val="en-US" w:eastAsia="zh-CN"/>
        </w:rPr>
        <w:t>6.38</w:t>
      </w:r>
      <w:r>
        <w:rPr>
          <w:rFonts w:hint="eastAsia" w:ascii="宋体" w:hAnsi="宋体" w:eastAsia="宋体" w:cs="宋体"/>
          <w:sz w:val="32"/>
          <w:szCs w:val="32"/>
          <w:highlight w:val="none"/>
        </w:rPr>
        <w:t>%。</w:t>
      </w:r>
    </w:p>
    <w:p>
      <w:pPr>
        <w:pStyle w:val="10"/>
        <w:pageBreakBefore w:val="0"/>
        <w:tabs>
          <w:tab w:val="left" w:pos="3792"/>
        </w:tabs>
        <w:kinsoku/>
        <w:wordWrap/>
        <w:overflowPunct/>
        <w:topLinePunct w:val="0"/>
        <w:bidi w:val="0"/>
        <w:spacing w:after="0" w:line="360" w:lineRule="auto"/>
        <w:ind w:firstLine="643" w:firstLineChars="200"/>
        <w:rPr>
          <w:rFonts w:hint="eastAsia" w:ascii="宋体" w:hAnsi="宋体" w:eastAsia="宋体" w:cs="宋体"/>
          <w:b/>
          <w:bCs/>
          <w:sz w:val="32"/>
          <w:szCs w:val="32"/>
          <w:lang w:val="en-US" w:eastAsia="zh-CN"/>
        </w:rPr>
      </w:pPr>
      <w:r>
        <w:rPr>
          <w:rFonts w:hint="eastAsia" w:ascii="宋体" w:hAnsi="宋体" w:eastAsia="宋体" w:cs="宋体"/>
          <w:b/>
          <w:bCs/>
          <w:sz w:val="32"/>
          <w:szCs w:val="32"/>
          <w:lang w:val="en-US" w:eastAsia="zh-CN"/>
        </w:rPr>
        <w:t>（一）社会保障和就业支出：</w:t>
      </w:r>
    </w:p>
    <w:p>
      <w:pPr>
        <w:pStyle w:val="10"/>
        <w:pageBreakBefore w:val="0"/>
        <w:tabs>
          <w:tab w:val="left" w:pos="3792"/>
        </w:tabs>
        <w:kinsoku/>
        <w:wordWrap/>
        <w:overflowPunct/>
        <w:topLinePunct w:val="0"/>
        <w:bidi w:val="0"/>
        <w:spacing w:after="0" w:line="360" w:lineRule="auto"/>
        <w:ind w:firstLine="640" w:firstLineChars="200"/>
        <w:rPr>
          <w:rFonts w:hint="eastAsia" w:ascii="宋体" w:hAnsi="宋体" w:eastAsia="宋体" w:cs="宋体"/>
          <w:sz w:val="32"/>
          <w:szCs w:val="32"/>
          <w:lang w:val="en-US" w:eastAsia="zh-CN"/>
        </w:rPr>
      </w:pPr>
      <w:r>
        <w:rPr>
          <w:rFonts w:hint="eastAsia" w:ascii="宋体" w:hAnsi="宋体" w:eastAsia="宋体" w:cs="宋体"/>
          <w:sz w:val="32"/>
          <w:szCs w:val="32"/>
          <w:lang w:val="en-US" w:eastAsia="zh-CN"/>
        </w:rPr>
        <w:t>1、行政事业单位养老支出：</w:t>
      </w:r>
    </w:p>
    <w:p>
      <w:pPr>
        <w:pStyle w:val="10"/>
        <w:pageBreakBefore w:val="0"/>
        <w:tabs>
          <w:tab w:val="left" w:pos="3792"/>
        </w:tabs>
        <w:kinsoku/>
        <w:wordWrap/>
        <w:overflowPunct/>
        <w:topLinePunct w:val="0"/>
        <w:bidi w:val="0"/>
        <w:spacing w:after="0" w:line="360" w:lineRule="auto"/>
        <w:ind w:firstLine="640" w:firstLineChars="200"/>
        <w:rPr>
          <w:rFonts w:hint="eastAsia" w:ascii="宋体" w:hAnsi="宋体" w:eastAsia="宋体" w:cs="宋体"/>
          <w:sz w:val="32"/>
          <w:szCs w:val="32"/>
          <w:lang w:val="en-US" w:eastAsia="zh-CN"/>
        </w:rPr>
      </w:pPr>
      <w:r>
        <w:rPr>
          <w:rFonts w:hint="eastAsia" w:ascii="宋体" w:hAnsi="宋体" w:eastAsia="宋体" w:cs="宋体"/>
          <w:sz w:val="32"/>
          <w:szCs w:val="32"/>
          <w:lang w:val="en-US" w:eastAsia="zh-CN"/>
        </w:rPr>
        <w:t>事业单位离退休：年初预算15.82万元，与上年相比增加1.29万元，增长8.88%。变动原因：本年新增4名退休人员，导致行政事业单位离退休支出增加。</w:t>
      </w:r>
    </w:p>
    <w:p>
      <w:pPr>
        <w:pStyle w:val="10"/>
        <w:pageBreakBefore w:val="0"/>
        <w:tabs>
          <w:tab w:val="left" w:pos="3792"/>
        </w:tabs>
        <w:kinsoku/>
        <w:wordWrap/>
        <w:overflowPunct/>
        <w:topLinePunct w:val="0"/>
        <w:bidi w:val="0"/>
        <w:spacing w:after="0" w:line="360" w:lineRule="auto"/>
        <w:ind w:firstLine="640" w:firstLineChars="200"/>
        <w:rPr>
          <w:rFonts w:hint="eastAsia" w:ascii="宋体" w:hAnsi="宋体" w:eastAsia="宋体" w:cs="宋体"/>
          <w:sz w:val="32"/>
          <w:szCs w:val="32"/>
          <w:lang w:val="en-US" w:eastAsia="zh-CN"/>
        </w:rPr>
      </w:pPr>
      <w:r>
        <w:rPr>
          <w:rFonts w:hint="eastAsia" w:ascii="宋体" w:hAnsi="宋体" w:eastAsia="宋体" w:cs="宋体"/>
          <w:sz w:val="32"/>
          <w:szCs w:val="32"/>
          <w:lang w:val="en-US" w:eastAsia="zh-CN"/>
        </w:rPr>
        <w:t>机关事业单位基本养老保险缴费支出：年初预算20.33万元，与上年相比减少2.11万元，减少9.4%。变动原因：新入职职工工资薪金基数减少导致机关事业单位基本养老保险缴费支出减少。</w:t>
      </w:r>
    </w:p>
    <w:p>
      <w:pPr>
        <w:pStyle w:val="10"/>
        <w:pageBreakBefore w:val="0"/>
        <w:numPr>
          <w:ilvl w:val="0"/>
          <w:numId w:val="3"/>
        </w:numPr>
        <w:tabs>
          <w:tab w:val="left" w:pos="3792"/>
        </w:tabs>
        <w:kinsoku/>
        <w:wordWrap/>
        <w:overflowPunct/>
        <w:topLinePunct w:val="0"/>
        <w:bidi w:val="0"/>
        <w:spacing w:after="0" w:line="360" w:lineRule="auto"/>
        <w:ind w:firstLine="640" w:firstLineChars="200"/>
        <w:rPr>
          <w:rFonts w:hint="eastAsia" w:ascii="宋体" w:hAnsi="宋体" w:eastAsia="宋体" w:cs="宋体"/>
          <w:sz w:val="32"/>
          <w:szCs w:val="32"/>
          <w:lang w:val="en-US" w:eastAsia="zh-CN"/>
        </w:rPr>
      </w:pPr>
      <w:r>
        <w:rPr>
          <w:rFonts w:hint="eastAsia" w:ascii="宋体" w:hAnsi="宋体" w:eastAsia="宋体" w:cs="宋体"/>
          <w:sz w:val="32"/>
          <w:szCs w:val="32"/>
          <w:lang w:val="en-US" w:eastAsia="zh-CN"/>
        </w:rPr>
        <w:t>社会福利：</w:t>
      </w:r>
    </w:p>
    <w:p>
      <w:pPr>
        <w:pStyle w:val="10"/>
        <w:pageBreakBefore w:val="0"/>
        <w:tabs>
          <w:tab w:val="left" w:pos="3792"/>
        </w:tabs>
        <w:kinsoku/>
        <w:wordWrap/>
        <w:overflowPunct/>
        <w:topLinePunct w:val="0"/>
        <w:bidi w:val="0"/>
        <w:spacing w:after="0" w:line="360" w:lineRule="auto"/>
        <w:ind w:firstLine="640" w:firstLineChars="200"/>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社会福利事业单位：年初预算546.46万元，与上年相比减少4.6万元，减少0.8%。变动原因：在职职工工资预算减少，导致社会福利事业单位支出减少。</w:t>
      </w:r>
    </w:p>
    <w:p>
      <w:pPr>
        <w:pStyle w:val="10"/>
        <w:pageBreakBefore w:val="0"/>
        <w:tabs>
          <w:tab w:val="left" w:pos="3792"/>
        </w:tabs>
        <w:kinsoku/>
        <w:wordWrap/>
        <w:overflowPunct/>
        <w:topLinePunct w:val="0"/>
        <w:bidi w:val="0"/>
        <w:spacing w:after="0" w:line="360" w:lineRule="auto"/>
        <w:ind w:firstLine="640" w:firstLineChars="200"/>
        <w:rPr>
          <w:rFonts w:hint="default" w:ascii="宋体" w:hAnsi="宋体" w:eastAsia="宋体" w:cs="宋体"/>
          <w:sz w:val="32"/>
          <w:szCs w:val="32"/>
          <w:highlight w:val="yellow"/>
          <w:lang w:val="en-US" w:eastAsia="zh-CN"/>
        </w:rPr>
      </w:pPr>
      <w:r>
        <w:rPr>
          <w:rFonts w:hint="eastAsia" w:ascii="宋体" w:hAnsi="宋体" w:eastAsia="宋体" w:cs="宋体"/>
          <w:sz w:val="32"/>
          <w:szCs w:val="32"/>
          <w:highlight w:val="none"/>
          <w:lang w:val="en-US" w:eastAsia="zh-CN"/>
        </w:rPr>
        <w:t>养老服务支出：年初预算16.89万元</w:t>
      </w:r>
      <w:r>
        <w:rPr>
          <w:rFonts w:hint="eastAsia" w:ascii="宋体" w:hAnsi="宋体" w:eastAsia="宋体" w:cs="宋体"/>
          <w:sz w:val="32"/>
          <w:szCs w:val="32"/>
          <w:lang w:val="en-US" w:eastAsia="zh-CN"/>
        </w:rPr>
        <w:t>，与上年相比增加16.89万元，增长100%。变动原因：</w:t>
      </w:r>
      <w:r>
        <w:rPr>
          <w:rFonts w:hint="eastAsia" w:ascii="宋体" w:hAnsi="宋体" w:eastAsia="宋体" w:cs="宋体"/>
          <w:sz w:val="32"/>
          <w:szCs w:val="32"/>
          <w:highlight w:val="none"/>
          <w:lang w:val="en-US" w:eastAsia="zh-CN"/>
        </w:rPr>
        <w:t>本年新增养老服务补贴专项资金10.7万元和养老护理员特殊岗位津贴6.19万元</w:t>
      </w:r>
      <w:r>
        <w:rPr>
          <w:rFonts w:hint="eastAsia" w:ascii="宋体" w:hAnsi="宋体" w:eastAsia="宋体" w:cs="宋体"/>
          <w:sz w:val="32"/>
          <w:szCs w:val="32"/>
          <w:lang w:val="en-US" w:eastAsia="zh-CN"/>
        </w:rPr>
        <w:t>。</w:t>
      </w:r>
    </w:p>
    <w:p>
      <w:pPr>
        <w:pStyle w:val="10"/>
        <w:pageBreakBefore w:val="0"/>
        <w:tabs>
          <w:tab w:val="left" w:pos="3792"/>
        </w:tabs>
        <w:kinsoku/>
        <w:wordWrap/>
        <w:overflowPunct/>
        <w:topLinePunct w:val="0"/>
        <w:bidi w:val="0"/>
        <w:spacing w:after="0" w:line="360" w:lineRule="auto"/>
        <w:ind w:firstLine="640" w:firstLineChars="200"/>
        <w:rPr>
          <w:rFonts w:hint="eastAsia" w:ascii="宋体" w:hAnsi="宋体" w:eastAsia="宋体" w:cs="宋体"/>
          <w:sz w:val="32"/>
          <w:szCs w:val="32"/>
          <w:lang w:val="en-US" w:eastAsia="zh-CN"/>
        </w:rPr>
      </w:pPr>
      <w:r>
        <w:rPr>
          <w:rFonts w:hint="eastAsia" w:ascii="宋体" w:hAnsi="宋体" w:eastAsia="宋体" w:cs="宋体"/>
          <w:sz w:val="32"/>
          <w:szCs w:val="32"/>
          <w:lang w:val="en-US" w:eastAsia="zh-CN"/>
        </w:rPr>
        <w:t>3、特困人员救助供养：</w:t>
      </w:r>
    </w:p>
    <w:p>
      <w:pPr>
        <w:pStyle w:val="10"/>
        <w:pageBreakBefore w:val="0"/>
        <w:tabs>
          <w:tab w:val="left" w:pos="3792"/>
        </w:tabs>
        <w:kinsoku/>
        <w:wordWrap/>
        <w:overflowPunct/>
        <w:topLinePunct w:val="0"/>
        <w:bidi w:val="0"/>
        <w:spacing w:after="0" w:line="360" w:lineRule="auto"/>
        <w:ind w:firstLine="640" w:firstLineChars="200"/>
        <w:rPr>
          <w:rFonts w:hint="eastAsia" w:ascii="宋体" w:hAnsi="宋体" w:eastAsia="宋体" w:cs="宋体"/>
          <w:sz w:val="32"/>
          <w:szCs w:val="32"/>
          <w:lang w:val="en-US" w:eastAsia="zh-CN"/>
        </w:rPr>
      </w:pPr>
      <w:r>
        <w:rPr>
          <w:rFonts w:hint="eastAsia" w:ascii="宋体" w:hAnsi="宋体" w:eastAsia="宋体" w:cs="宋体"/>
          <w:sz w:val="32"/>
          <w:szCs w:val="32"/>
          <w:lang w:val="en-US" w:eastAsia="zh-CN"/>
        </w:rPr>
        <w:t>城市特困人员救助供养：年初预算90.79万元，与上年相比增加3.5万元，增加4.1%。变动原因：</w:t>
      </w:r>
      <w:r>
        <w:rPr>
          <w:rFonts w:hint="eastAsia" w:ascii="宋体" w:hAnsi="宋体" w:eastAsia="宋体" w:cs="宋体"/>
          <w:sz w:val="32"/>
          <w:szCs w:val="32"/>
          <w:highlight w:val="none"/>
          <w:lang w:val="en-US" w:eastAsia="zh-CN"/>
        </w:rPr>
        <w:t>本年特困人员供养标准上调。</w:t>
      </w:r>
    </w:p>
    <w:p>
      <w:pPr>
        <w:pStyle w:val="10"/>
        <w:pageBreakBefore w:val="0"/>
        <w:tabs>
          <w:tab w:val="left" w:pos="3792"/>
        </w:tabs>
        <w:kinsoku/>
        <w:wordWrap/>
        <w:overflowPunct/>
        <w:topLinePunct w:val="0"/>
        <w:bidi w:val="0"/>
        <w:spacing w:after="0" w:line="360" w:lineRule="auto"/>
        <w:ind w:firstLine="643" w:firstLineChars="200"/>
        <w:rPr>
          <w:rFonts w:hint="eastAsia" w:ascii="宋体" w:hAnsi="宋体" w:eastAsia="宋体" w:cs="宋体"/>
          <w:b/>
          <w:bCs/>
          <w:sz w:val="32"/>
          <w:szCs w:val="32"/>
          <w:highlight w:val="none"/>
          <w:lang w:val="en-US" w:eastAsia="zh-CN"/>
        </w:rPr>
      </w:pPr>
      <w:r>
        <w:rPr>
          <w:rFonts w:hint="eastAsia" w:ascii="宋体" w:hAnsi="宋体" w:eastAsia="宋体" w:cs="宋体"/>
          <w:b/>
          <w:bCs/>
          <w:sz w:val="32"/>
          <w:szCs w:val="32"/>
          <w:highlight w:val="none"/>
          <w:lang w:val="en-US" w:eastAsia="zh-CN"/>
        </w:rPr>
        <w:t>(二)卫生健康支出：</w:t>
      </w:r>
    </w:p>
    <w:p>
      <w:pPr>
        <w:pStyle w:val="10"/>
        <w:pageBreakBefore w:val="0"/>
        <w:tabs>
          <w:tab w:val="left" w:pos="3792"/>
        </w:tabs>
        <w:kinsoku/>
        <w:wordWrap/>
        <w:overflowPunct/>
        <w:topLinePunct w:val="0"/>
        <w:bidi w:val="0"/>
        <w:spacing w:after="0" w:line="360" w:lineRule="auto"/>
        <w:ind w:firstLine="640" w:firstLineChars="200"/>
        <w:rPr>
          <w:rFonts w:hint="default" w:ascii="宋体" w:hAnsi="宋体" w:eastAsia="宋体" w:cs="宋体"/>
          <w:sz w:val="32"/>
          <w:szCs w:val="32"/>
          <w:lang w:val="en-US" w:eastAsia="zh-CN"/>
        </w:rPr>
      </w:pPr>
      <w:r>
        <w:rPr>
          <w:rFonts w:hint="eastAsia" w:ascii="宋体" w:hAnsi="宋体" w:eastAsia="宋体" w:cs="宋体"/>
          <w:sz w:val="32"/>
          <w:szCs w:val="32"/>
          <w:lang w:val="en-US" w:eastAsia="zh-CN"/>
        </w:rPr>
        <w:t>1、事业单位医疗：年初预算10.2万元，与上年相比减少7.19万元，减少41.34%。变动原因：上年职工退休四名，在职工资基数减少，导致事业单位医疗支出减少。</w:t>
      </w:r>
    </w:p>
    <w:p>
      <w:pPr>
        <w:pStyle w:val="10"/>
        <w:pageBreakBefore w:val="0"/>
        <w:tabs>
          <w:tab w:val="left" w:pos="3792"/>
        </w:tabs>
        <w:kinsoku/>
        <w:wordWrap/>
        <w:overflowPunct/>
        <w:topLinePunct w:val="0"/>
        <w:bidi w:val="0"/>
        <w:spacing w:after="0" w:line="360" w:lineRule="auto"/>
        <w:ind w:firstLine="640" w:firstLineChars="200"/>
        <w:rPr>
          <w:rFonts w:hint="default" w:ascii="宋体" w:hAnsi="宋体" w:eastAsia="宋体" w:cs="宋体"/>
          <w:sz w:val="32"/>
          <w:szCs w:val="32"/>
          <w:lang w:val="en-US" w:eastAsia="zh-CN"/>
        </w:rPr>
      </w:pPr>
      <w:r>
        <w:rPr>
          <w:rFonts w:hint="eastAsia" w:ascii="宋体" w:hAnsi="宋体" w:eastAsia="宋体" w:cs="宋体"/>
          <w:sz w:val="32"/>
          <w:szCs w:val="32"/>
          <w:lang w:val="en-US" w:eastAsia="zh-CN"/>
        </w:rPr>
        <w:t>2、公务员医疗补助：年初预算2.47万元，与上年相比增加1.17万元，增加90%。变动原因：在职职工增加3名，公务员医疗补助支出增加，导致支出增加。</w:t>
      </w:r>
    </w:p>
    <w:p>
      <w:pPr>
        <w:pStyle w:val="10"/>
        <w:pageBreakBefore w:val="0"/>
        <w:tabs>
          <w:tab w:val="left" w:pos="3792"/>
        </w:tabs>
        <w:kinsoku/>
        <w:wordWrap/>
        <w:overflowPunct/>
        <w:topLinePunct w:val="0"/>
        <w:bidi w:val="0"/>
        <w:spacing w:after="0" w:line="360" w:lineRule="auto"/>
        <w:ind w:firstLine="643" w:firstLineChars="200"/>
        <w:rPr>
          <w:rFonts w:hint="eastAsia" w:ascii="宋体" w:hAnsi="宋体" w:eastAsia="宋体" w:cs="宋体"/>
          <w:b/>
          <w:bCs/>
          <w:sz w:val="32"/>
          <w:szCs w:val="32"/>
          <w:lang w:val="en-US" w:eastAsia="zh-CN"/>
        </w:rPr>
      </w:pPr>
      <w:r>
        <w:rPr>
          <w:rFonts w:hint="eastAsia" w:ascii="宋体" w:hAnsi="宋体" w:eastAsia="宋体" w:cs="宋体"/>
          <w:b/>
          <w:bCs/>
          <w:sz w:val="32"/>
          <w:szCs w:val="32"/>
          <w:lang w:val="en-US" w:eastAsia="zh-CN"/>
        </w:rPr>
        <w:t>（三）住房保障支出：</w:t>
      </w:r>
    </w:p>
    <w:p>
      <w:pPr>
        <w:pStyle w:val="10"/>
        <w:pageBreakBefore w:val="0"/>
        <w:tabs>
          <w:tab w:val="left" w:pos="3792"/>
        </w:tabs>
        <w:kinsoku/>
        <w:wordWrap/>
        <w:overflowPunct/>
        <w:topLinePunct w:val="0"/>
        <w:bidi w:val="0"/>
        <w:spacing w:after="0" w:line="360" w:lineRule="auto"/>
        <w:ind w:firstLine="640" w:firstLineChars="200"/>
        <w:rPr>
          <w:rFonts w:hint="eastAsia" w:ascii="宋体" w:hAnsi="宋体" w:eastAsia="宋体" w:cs="宋体"/>
          <w:sz w:val="32"/>
          <w:szCs w:val="32"/>
          <w:lang w:val="en-US" w:eastAsia="zh-CN"/>
        </w:rPr>
      </w:pPr>
      <w:r>
        <w:rPr>
          <w:rFonts w:hint="eastAsia" w:ascii="宋体" w:hAnsi="宋体" w:eastAsia="宋体" w:cs="宋体"/>
          <w:sz w:val="32"/>
          <w:szCs w:val="32"/>
          <w:lang w:val="en-US" w:eastAsia="zh-CN"/>
        </w:rPr>
        <w:t>1、住房公积金：年初预算19.68万元，与上年相比减少1.86万元，减少8.63%。变动原因：本年职工工资缴费基数减少，导致住房保障支出减少。</w:t>
      </w:r>
    </w:p>
    <w:p>
      <w:pPr>
        <w:pStyle w:val="10"/>
        <w:pageBreakBefore w:val="0"/>
        <w:tabs>
          <w:tab w:val="left" w:pos="3792"/>
        </w:tabs>
        <w:kinsoku/>
        <w:wordWrap/>
        <w:overflowPunct/>
        <w:topLinePunct w:val="0"/>
        <w:bidi w:val="0"/>
        <w:spacing w:after="0" w:line="360" w:lineRule="auto"/>
        <w:ind w:firstLine="640" w:firstLineChars="200"/>
        <w:rPr>
          <w:rFonts w:hint="eastAsia" w:ascii="宋体" w:hAnsi="宋体" w:eastAsia="宋体" w:cs="宋体"/>
          <w:sz w:val="32"/>
          <w:szCs w:val="32"/>
          <w:lang w:val="en-US" w:eastAsia="zh-CN"/>
        </w:rPr>
      </w:pPr>
      <w:r>
        <w:rPr>
          <w:rFonts w:hint="eastAsia" w:ascii="宋体" w:hAnsi="宋体" w:eastAsia="宋体" w:cs="宋体"/>
          <w:sz w:val="32"/>
          <w:szCs w:val="32"/>
          <w:lang w:val="en-US" w:eastAsia="zh-CN"/>
        </w:rPr>
        <w:t>2、购房补贴：年初预算2.78万元，与上年相比减少0.95万元，减少25%。变动原因：本年购房补贴由按工资比例发放改为定额发放，导致购房补贴支出减少。</w:t>
      </w:r>
    </w:p>
    <w:p>
      <w:pPr>
        <w:pageBreakBefore w:val="0"/>
        <w:kinsoku/>
        <w:wordWrap/>
        <w:overflowPunct/>
        <w:topLinePunct w:val="0"/>
        <w:bidi w:val="0"/>
        <w:spacing w:line="360" w:lineRule="auto"/>
        <w:ind w:firstLine="643" w:firstLineChars="200"/>
        <w:outlineLvl w:val="0"/>
        <w:rPr>
          <w:rFonts w:hint="eastAsia" w:ascii="宋体" w:hAnsi="宋体" w:eastAsia="宋体" w:cs="宋体"/>
          <w:b/>
          <w:bCs/>
          <w:sz w:val="32"/>
          <w:szCs w:val="36"/>
        </w:rPr>
      </w:pPr>
      <w:r>
        <w:rPr>
          <w:rFonts w:hint="eastAsia" w:ascii="宋体" w:hAnsi="宋体" w:eastAsia="宋体" w:cs="宋体"/>
          <w:b/>
          <w:bCs/>
          <w:sz w:val="32"/>
          <w:szCs w:val="36"/>
        </w:rPr>
        <w:t>六、一般公共预算基本支出预算情况说明</w:t>
      </w:r>
    </w:p>
    <w:p>
      <w:pPr>
        <w:pageBreakBefore w:val="0"/>
        <w:kinsoku/>
        <w:wordWrap/>
        <w:overflowPunct/>
        <w:topLinePunct w:val="0"/>
        <w:bidi w:val="0"/>
        <w:spacing w:line="360" w:lineRule="auto"/>
        <w:ind w:firstLine="640" w:firstLineChars="200"/>
        <w:outlineLvl w:val="0"/>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u w:val="single"/>
        </w:rPr>
        <w:t>锡林郭勒盟社会福利院</w:t>
      </w:r>
      <w:r>
        <w:rPr>
          <w:rFonts w:hint="eastAsia" w:ascii="宋体" w:hAnsi="宋体" w:eastAsia="宋体" w:cs="宋体"/>
          <w:sz w:val="32"/>
          <w:szCs w:val="32"/>
          <w:highlight w:val="none"/>
        </w:rPr>
        <w:t>202</w:t>
      </w:r>
      <w:r>
        <w:rPr>
          <w:rFonts w:hint="eastAsia" w:ascii="宋体" w:hAnsi="宋体" w:eastAsia="宋体" w:cs="宋体"/>
          <w:sz w:val="32"/>
          <w:szCs w:val="32"/>
          <w:highlight w:val="none"/>
          <w:lang w:val="en-US" w:eastAsia="zh-CN"/>
        </w:rPr>
        <w:t>5</w:t>
      </w:r>
      <w:r>
        <w:rPr>
          <w:rFonts w:hint="eastAsia" w:ascii="宋体" w:hAnsi="宋体" w:eastAsia="宋体" w:cs="宋体"/>
          <w:sz w:val="32"/>
          <w:szCs w:val="32"/>
          <w:highlight w:val="none"/>
        </w:rPr>
        <w:t>年度一般公共预算财政拨款基本支出预算</w:t>
      </w:r>
      <w:r>
        <w:rPr>
          <w:rFonts w:hint="eastAsia" w:ascii="宋体" w:hAnsi="宋体" w:eastAsia="宋体" w:cs="宋体"/>
          <w:sz w:val="32"/>
          <w:szCs w:val="32"/>
          <w:highlight w:val="none"/>
          <w:lang w:val="en-US" w:eastAsia="zh-CN"/>
        </w:rPr>
        <w:t>557.24</w:t>
      </w:r>
      <w:r>
        <w:rPr>
          <w:rFonts w:hint="eastAsia" w:ascii="宋体" w:hAnsi="宋体" w:eastAsia="宋体" w:cs="宋体"/>
          <w:sz w:val="32"/>
          <w:szCs w:val="32"/>
          <w:highlight w:val="none"/>
        </w:rPr>
        <w:t>万元，其中：</w:t>
      </w:r>
    </w:p>
    <w:p>
      <w:pPr>
        <w:pageBreakBefore w:val="0"/>
        <w:numPr>
          <w:ilvl w:val="0"/>
          <w:numId w:val="4"/>
        </w:numPr>
        <w:kinsoku/>
        <w:wordWrap/>
        <w:overflowPunct/>
        <w:topLinePunct w:val="0"/>
        <w:bidi w:val="0"/>
        <w:spacing w:line="360" w:lineRule="auto"/>
        <w:ind w:firstLine="640" w:firstLineChars="200"/>
        <w:outlineLvl w:val="0"/>
        <w:rPr>
          <w:rFonts w:hint="eastAsia" w:ascii="宋体" w:hAnsi="宋体" w:eastAsia="宋体" w:cs="宋体"/>
          <w:sz w:val="32"/>
          <w:szCs w:val="32"/>
          <w:highlight w:val="none"/>
        </w:rPr>
      </w:pPr>
      <w:r>
        <w:rPr>
          <w:rFonts w:hint="eastAsia" w:ascii="宋体" w:hAnsi="宋体" w:eastAsia="宋体" w:cs="宋体"/>
          <w:sz w:val="32"/>
          <w:szCs w:val="32"/>
          <w:highlight w:val="none"/>
        </w:rPr>
        <w:t>人员经费</w:t>
      </w:r>
      <w:r>
        <w:rPr>
          <w:rFonts w:hint="eastAsia" w:ascii="宋体" w:hAnsi="宋体" w:eastAsia="宋体" w:cs="宋体"/>
          <w:sz w:val="32"/>
          <w:szCs w:val="32"/>
          <w:highlight w:val="none"/>
          <w:lang w:val="en-US" w:eastAsia="zh-CN"/>
        </w:rPr>
        <w:t>431.25</w:t>
      </w:r>
      <w:r>
        <w:rPr>
          <w:rFonts w:hint="eastAsia" w:ascii="宋体" w:hAnsi="宋体" w:eastAsia="宋体" w:cs="宋体"/>
          <w:sz w:val="32"/>
          <w:szCs w:val="32"/>
          <w:highlight w:val="none"/>
        </w:rPr>
        <w:t>万元。主要包括：基本工资</w:t>
      </w:r>
      <w:r>
        <w:rPr>
          <w:rFonts w:hint="eastAsia" w:ascii="宋体" w:hAnsi="宋体" w:eastAsia="宋体" w:cs="宋体"/>
          <w:sz w:val="32"/>
          <w:szCs w:val="32"/>
          <w:highlight w:val="none"/>
          <w:lang w:val="en-US" w:eastAsia="zh-CN"/>
        </w:rPr>
        <w:t>61.21</w:t>
      </w:r>
      <w:r>
        <w:rPr>
          <w:rFonts w:hint="eastAsia" w:ascii="宋体" w:hAnsi="宋体" w:eastAsia="宋体" w:cs="宋体"/>
          <w:sz w:val="32"/>
          <w:szCs w:val="32"/>
          <w:highlight w:val="none"/>
        </w:rPr>
        <w:t>万元、津贴补贴</w:t>
      </w:r>
      <w:r>
        <w:rPr>
          <w:rFonts w:hint="eastAsia" w:ascii="宋体" w:hAnsi="宋体" w:eastAsia="宋体" w:cs="宋体"/>
          <w:sz w:val="32"/>
          <w:szCs w:val="32"/>
          <w:highlight w:val="none"/>
          <w:lang w:val="en-US" w:eastAsia="zh-CN"/>
        </w:rPr>
        <w:t>24.16</w:t>
      </w:r>
      <w:r>
        <w:rPr>
          <w:rFonts w:hint="eastAsia" w:ascii="宋体" w:hAnsi="宋体" w:eastAsia="宋体" w:cs="宋体"/>
          <w:sz w:val="32"/>
          <w:szCs w:val="32"/>
          <w:highlight w:val="none"/>
        </w:rPr>
        <w:t>万元、</w:t>
      </w:r>
      <w:r>
        <w:rPr>
          <w:rFonts w:hint="eastAsia" w:ascii="宋体" w:hAnsi="宋体" w:eastAsia="宋体" w:cs="宋体"/>
          <w:sz w:val="32"/>
          <w:szCs w:val="32"/>
          <w:highlight w:val="none"/>
          <w:lang w:val="en-US" w:eastAsia="zh-CN"/>
        </w:rPr>
        <w:t>奖金15.59万元、</w:t>
      </w:r>
      <w:r>
        <w:rPr>
          <w:rFonts w:hint="eastAsia" w:ascii="宋体" w:hAnsi="宋体" w:eastAsia="宋体" w:cs="宋体"/>
          <w:sz w:val="32"/>
          <w:szCs w:val="32"/>
          <w:highlight w:val="none"/>
        </w:rPr>
        <w:t>绩效工资</w:t>
      </w:r>
      <w:r>
        <w:rPr>
          <w:rFonts w:hint="eastAsia" w:ascii="宋体" w:hAnsi="宋体" w:eastAsia="宋体" w:cs="宋体"/>
          <w:sz w:val="32"/>
          <w:szCs w:val="32"/>
          <w:highlight w:val="none"/>
          <w:lang w:val="en-US" w:eastAsia="zh-CN"/>
        </w:rPr>
        <w:t>47.96</w:t>
      </w:r>
      <w:r>
        <w:rPr>
          <w:rFonts w:hint="eastAsia" w:ascii="宋体" w:hAnsi="宋体" w:eastAsia="宋体" w:cs="宋体"/>
          <w:sz w:val="32"/>
          <w:szCs w:val="32"/>
          <w:highlight w:val="none"/>
        </w:rPr>
        <w:t>万元、机关事业单位基本养老保险缴费</w:t>
      </w:r>
      <w:r>
        <w:rPr>
          <w:rFonts w:hint="eastAsia" w:ascii="宋体" w:hAnsi="宋体" w:eastAsia="宋体" w:cs="宋体"/>
          <w:sz w:val="32"/>
          <w:szCs w:val="32"/>
          <w:highlight w:val="none"/>
          <w:lang w:val="en-US" w:eastAsia="zh-CN"/>
        </w:rPr>
        <w:t>20.33</w:t>
      </w:r>
      <w:r>
        <w:rPr>
          <w:rFonts w:hint="eastAsia" w:ascii="宋体" w:hAnsi="宋体" w:eastAsia="宋体" w:cs="宋体"/>
          <w:sz w:val="32"/>
          <w:szCs w:val="32"/>
          <w:highlight w:val="none"/>
        </w:rPr>
        <w:t>万元、职工基本医疗保险缴费</w:t>
      </w:r>
      <w:r>
        <w:rPr>
          <w:rFonts w:hint="eastAsia" w:ascii="宋体" w:hAnsi="宋体" w:eastAsia="宋体" w:cs="宋体"/>
          <w:sz w:val="32"/>
          <w:szCs w:val="32"/>
          <w:highlight w:val="none"/>
          <w:lang w:val="en-US" w:eastAsia="zh-CN"/>
        </w:rPr>
        <w:t>7.73</w:t>
      </w:r>
      <w:r>
        <w:rPr>
          <w:rFonts w:hint="eastAsia" w:ascii="宋体" w:hAnsi="宋体" w:eastAsia="宋体" w:cs="宋体"/>
          <w:sz w:val="32"/>
          <w:szCs w:val="32"/>
          <w:highlight w:val="none"/>
        </w:rPr>
        <w:t>万元、公务员医疗补助缴费</w:t>
      </w:r>
      <w:r>
        <w:rPr>
          <w:rFonts w:hint="eastAsia" w:ascii="宋体" w:hAnsi="宋体" w:eastAsia="宋体" w:cs="宋体"/>
          <w:sz w:val="32"/>
          <w:szCs w:val="32"/>
          <w:highlight w:val="none"/>
          <w:lang w:val="en-US" w:eastAsia="zh-CN"/>
        </w:rPr>
        <w:t>2.47</w:t>
      </w:r>
      <w:r>
        <w:rPr>
          <w:rFonts w:hint="eastAsia" w:ascii="宋体" w:hAnsi="宋体" w:eastAsia="宋体" w:cs="宋体"/>
          <w:sz w:val="32"/>
          <w:szCs w:val="32"/>
          <w:highlight w:val="none"/>
        </w:rPr>
        <w:t>万元、其他社会保障经费</w:t>
      </w:r>
      <w:r>
        <w:rPr>
          <w:rFonts w:hint="eastAsia" w:ascii="宋体" w:hAnsi="宋体" w:eastAsia="宋体" w:cs="宋体"/>
          <w:sz w:val="32"/>
          <w:szCs w:val="32"/>
          <w:highlight w:val="none"/>
          <w:lang w:val="en-US" w:eastAsia="zh-CN"/>
        </w:rPr>
        <w:t>0.88</w:t>
      </w:r>
      <w:r>
        <w:rPr>
          <w:rFonts w:hint="eastAsia" w:ascii="宋体" w:hAnsi="宋体" w:eastAsia="宋体" w:cs="宋体"/>
          <w:sz w:val="32"/>
          <w:szCs w:val="32"/>
          <w:highlight w:val="none"/>
        </w:rPr>
        <w:t>万元、住房公积金</w:t>
      </w:r>
      <w:r>
        <w:rPr>
          <w:rFonts w:hint="eastAsia" w:ascii="宋体" w:hAnsi="宋体" w:eastAsia="宋体" w:cs="宋体"/>
          <w:sz w:val="32"/>
          <w:szCs w:val="32"/>
          <w:highlight w:val="none"/>
          <w:lang w:val="en-US" w:eastAsia="zh-CN"/>
        </w:rPr>
        <w:t>19.68</w:t>
      </w:r>
      <w:r>
        <w:rPr>
          <w:rFonts w:hint="eastAsia" w:ascii="宋体" w:hAnsi="宋体" w:eastAsia="宋体" w:cs="宋体"/>
          <w:sz w:val="32"/>
          <w:szCs w:val="32"/>
          <w:highlight w:val="none"/>
        </w:rPr>
        <w:t>万元、其他工资福利支出</w:t>
      </w:r>
      <w:r>
        <w:rPr>
          <w:rFonts w:hint="eastAsia" w:ascii="宋体" w:hAnsi="宋体" w:eastAsia="宋体" w:cs="宋体"/>
          <w:sz w:val="32"/>
          <w:szCs w:val="32"/>
          <w:highlight w:val="none"/>
          <w:lang w:val="en-US" w:eastAsia="zh-CN"/>
        </w:rPr>
        <w:t>125.07</w:t>
      </w:r>
      <w:r>
        <w:rPr>
          <w:rFonts w:hint="eastAsia" w:ascii="宋体" w:hAnsi="宋体" w:eastAsia="宋体" w:cs="宋体"/>
          <w:sz w:val="32"/>
          <w:szCs w:val="32"/>
          <w:highlight w:val="none"/>
        </w:rPr>
        <w:t>万元、退休费</w:t>
      </w:r>
      <w:r>
        <w:rPr>
          <w:rFonts w:hint="eastAsia" w:ascii="宋体" w:hAnsi="宋体" w:eastAsia="宋体" w:cs="宋体"/>
          <w:sz w:val="32"/>
          <w:szCs w:val="32"/>
          <w:highlight w:val="none"/>
          <w:lang w:val="en-US" w:eastAsia="zh-CN"/>
        </w:rPr>
        <w:t>15.82</w:t>
      </w:r>
      <w:r>
        <w:rPr>
          <w:rFonts w:hint="eastAsia" w:ascii="宋体" w:hAnsi="宋体" w:eastAsia="宋体" w:cs="宋体"/>
          <w:sz w:val="32"/>
          <w:szCs w:val="32"/>
          <w:highlight w:val="none"/>
        </w:rPr>
        <w:t>万元、生活补助</w:t>
      </w:r>
      <w:r>
        <w:rPr>
          <w:rFonts w:hint="eastAsia" w:ascii="宋体" w:hAnsi="宋体" w:eastAsia="宋体" w:cs="宋体"/>
          <w:sz w:val="32"/>
          <w:szCs w:val="32"/>
          <w:highlight w:val="none"/>
          <w:lang w:val="en-US" w:eastAsia="zh-CN"/>
        </w:rPr>
        <w:t>90.35</w:t>
      </w:r>
      <w:r>
        <w:rPr>
          <w:rFonts w:hint="eastAsia" w:ascii="宋体" w:hAnsi="宋体" w:eastAsia="宋体" w:cs="宋体"/>
          <w:sz w:val="32"/>
          <w:szCs w:val="32"/>
          <w:highlight w:val="none"/>
        </w:rPr>
        <w:t>万元等。</w:t>
      </w:r>
    </w:p>
    <w:p>
      <w:pPr>
        <w:pageBreakBefore w:val="0"/>
        <w:numPr>
          <w:ilvl w:val="0"/>
          <w:numId w:val="4"/>
        </w:numPr>
        <w:kinsoku/>
        <w:wordWrap/>
        <w:overflowPunct/>
        <w:topLinePunct w:val="0"/>
        <w:bidi w:val="0"/>
        <w:spacing w:line="360" w:lineRule="auto"/>
        <w:ind w:firstLine="640" w:firstLineChars="200"/>
        <w:outlineLvl w:val="0"/>
        <w:rPr>
          <w:rFonts w:hint="eastAsia" w:ascii="宋体" w:hAnsi="宋体" w:eastAsia="宋体" w:cs="宋体"/>
          <w:sz w:val="32"/>
          <w:szCs w:val="32"/>
          <w:highlight w:val="none"/>
        </w:rPr>
      </w:pPr>
      <w:r>
        <w:rPr>
          <w:rFonts w:hint="eastAsia" w:ascii="宋体" w:hAnsi="宋体" w:eastAsia="宋体" w:cs="宋体"/>
          <w:sz w:val="32"/>
          <w:szCs w:val="32"/>
          <w:highlight w:val="none"/>
        </w:rPr>
        <w:t>公用经费</w:t>
      </w:r>
      <w:r>
        <w:rPr>
          <w:rFonts w:hint="eastAsia" w:ascii="宋体" w:hAnsi="宋体" w:eastAsia="宋体" w:cs="宋体"/>
          <w:sz w:val="32"/>
          <w:szCs w:val="32"/>
          <w:highlight w:val="none"/>
          <w:lang w:val="en-US" w:eastAsia="zh-CN"/>
        </w:rPr>
        <w:t>125.99</w:t>
      </w:r>
      <w:r>
        <w:rPr>
          <w:rFonts w:hint="eastAsia" w:ascii="宋体" w:hAnsi="宋体" w:eastAsia="宋体" w:cs="宋体"/>
          <w:sz w:val="32"/>
          <w:szCs w:val="32"/>
          <w:highlight w:val="none"/>
        </w:rPr>
        <w:t>万元。主要包括：办公费</w:t>
      </w:r>
      <w:r>
        <w:rPr>
          <w:rFonts w:hint="eastAsia" w:ascii="宋体" w:hAnsi="宋体" w:eastAsia="宋体" w:cs="宋体"/>
          <w:sz w:val="32"/>
          <w:szCs w:val="32"/>
          <w:highlight w:val="none"/>
          <w:lang w:val="en-US" w:eastAsia="zh-CN"/>
        </w:rPr>
        <w:t>2.02</w:t>
      </w:r>
      <w:r>
        <w:rPr>
          <w:rFonts w:hint="eastAsia" w:ascii="宋体" w:hAnsi="宋体" w:eastAsia="宋体" w:cs="宋体"/>
          <w:sz w:val="32"/>
          <w:szCs w:val="32"/>
          <w:highlight w:val="none"/>
        </w:rPr>
        <w:t>万元、</w:t>
      </w:r>
      <w:r>
        <w:rPr>
          <w:rFonts w:hint="eastAsia" w:ascii="宋体" w:hAnsi="宋体" w:eastAsia="宋体" w:cs="宋体"/>
          <w:sz w:val="32"/>
          <w:szCs w:val="32"/>
          <w:highlight w:val="none"/>
          <w:lang w:val="en-US" w:eastAsia="zh-CN"/>
        </w:rPr>
        <w:t>印刷费0.5万元、水费3万元、电费12万元、邮电费1万元、取暖费38.5万元、</w:t>
      </w:r>
      <w:r>
        <w:rPr>
          <w:rFonts w:hint="eastAsia" w:ascii="宋体" w:hAnsi="宋体" w:eastAsia="宋体" w:cs="宋体"/>
          <w:sz w:val="32"/>
          <w:szCs w:val="32"/>
          <w:highlight w:val="none"/>
        </w:rPr>
        <w:t>物业管理费</w:t>
      </w:r>
      <w:r>
        <w:rPr>
          <w:rFonts w:hint="eastAsia" w:ascii="宋体" w:hAnsi="宋体" w:eastAsia="宋体" w:cs="宋体"/>
          <w:sz w:val="32"/>
          <w:szCs w:val="32"/>
          <w:highlight w:val="none"/>
          <w:lang w:val="en-US" w:eastAsia="zh-CN"/>
        </w:rPr>
        <w:t>61</w:t>
      </w:r>
      <w:r>
        <w:rPr>
          <w:rFonts w:hint="eastAsia" w:ascii="宋体" w:hAnsi="宋体" w:eastAsia="宋体" w:cs="宋体"/>
          <w:sz w:val="32"/>
          <w:szCs w:val="32"/>
          <w:highlight w:val="none"/>
        </w:rPr>
        <w:t>万元、工会经费</w:t>
      </w:r>
      <w:r>
        <w:rPr>
          <w:rFonts w:hint="eastAsia" w:ascii="宋体" w:hAnsi="宋体" w:eastAsia="宋体" w:cs="宋体"/>
          <w:sz w:val="32"/>
          <w:szCs w:val="32"/>
          <w:highlight w:val="none"/>
          <w:lang w:val="en-US" w:eastAsia="zh-CN"/>
        </w:rPr>
        <w:t>3.28</w:t>
      </w:r>
      <w:r>
        <w:rPr>
          <w:rFonts w:hint="eastAsia" w:ascii="宋体" w:hAnsi="宋体" w:eastAsia="宋体" w:cs="宋体"/>
          <w:sz w:val="32"/>
          <w:szCs w:val="32"/>
          <w:highlight w:val="none"/>
        </w:rPr>
        <w:t>万元、福利费</w:t>
      </w:r>
      <w:r>
        <w:rPr>
          <w:rFonts w:hint="eastAsia" w:ascii="宋体" w:hAnsi="宋体" w:eastAsia="宋体" w:cs="宋体"/>
          <w:sz w:val="32"/>
          <w:szCs w:val="32"/>
          <w:highlight w:val="none"/>
          <w:lang w:val="en-US" w:eastAsia="zh-CN"/>
        </w:rPr>
        <w:t>3.9</w:t>
      </w:r>
      <w:r>
        <w:rPr>
          <w:rFonts w:hint="eastAsia" w:ascii="宋体" w:hAnsi="宋体" w:eastAsia="宋体" w:cs="宋体"/>
          <w:sz w:val="32"/>
          <w:szCs w:val="32"/>
          <w:highlight w:val="none"/>
        </w:rPr>
        <w:t>万元、公务用车运行维护费0.8万元等。</w:t>
      </w:r>
    </w:p>
    <w:p>
      <w:pPr>
        <w:pageBreakBefore w:val="0"/>
        <w:kinsoku/>
        <w:wordWrap/>
        <w:overflowPunct/>
        <w:topLinePunct w:val="0"/>
        <w:bidi w:val="0"/>
        <w:spacing w:line="360" w:lineRule="auto"/>
        <w:ind w:firstLine="643" w:firstLineChars="200"/>
        <w:outlineLvl w:val="0"/>
        <w:rPr>
          <w:rFonts w:hint="eastAsia" w:ascii="宋体" w:hAnsi="宋体" w:eastAsia="宋体" w:cs="宋体"/>
          <w:b/>
          <w:bCs/>
          <w:sz w:val="32"/>
          <w:szCs w:val="36"/>
        </w:rPr>
      </w:pPr>
      <w:r>
        <w:rPr>
          <w:rFonts w:hint="eastAsia" w:ascii="宋体" w:hAnsi="宋体" w:eastAsia="宋体" w:cs="宋体"/>
          <w:b/>
          <w:bCs/>
          <w:sz w:val="32"/>
          <w:szCs w:val="36"/>
        </w:rPr>
        <w:t>七、一般公共预算“三公”经费支出预算情况说明</w:t>
      </w:r>
    </w:p>
    <w:p>
      <w:pPr>
        <w:pageBreakBefore w:val="0"/>
        <w:numPr>
          <w:ilvl w:val="0"/>
          <w:numId w:val="0"/>
        </w:numPr>
        <w:kinsoku/>
        <w:wordWrap/>
        <w:overflowPunct/>
        <w:topLinePunct w:val="0"/>
        <w:bidi w:val="0"/>
        <w:spacing w:line="360" w:lineRule="auto"/>
        <w:ind w:firstLine="640" w:firstLineChars="200"/>
        <w:outlineLvl w:val="0"/>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u w:val="single"/>
          <w:lang w:val="en-US" w:eastAsia="zh-CN"/>
        </w:rPr>
        <w:t>锡林郭勒盟社会福利院</w:t>
      </w:r>
      <w:r>
        <w:rPr>
          <w:rFonts w:hint="eastAsia" w:ascii="宋体" w:hAnsi="宋体" w:eastAsia="宋体" w:cs="宋体"/>
          <w:sz w:val="32"/>
          <w:szCs w:val="32"/>
          <w:highlight w:val="none"/>
          <w:lang w:val="en-US" w:eastAsia="zh-CN"/>
        </w:rPr>
        <w:t>2025年度一般公共预算拨款安排的“三公”经费预算支出0.8万元，其中因公出国（境）费支出0万元，占“三公”经费的0%；公务用车购置及运行维护费支出0.8万元，占“三公”经费的100%；公务接待费支出0万元，占“三公”经费的0%。具体情况如下：</w:t>
      </w:r>
    </w:p>
    <w:p>
      <w:pPr>
        <w:pageBreakBefore w:val="0"/>
        <w:numPr>
          <w:ilvl w:val="0"/>
          <w:numId w:val="0"/>
        </w:numPr>
        <w:kinsoku/>
        <w:wordWrap/>
        <w:overflowPunct/>
        <w:topLinePunct w:val="0"/>
        <w:bidi w:val="0"/>
        <w:spacing w:line="360" w:lineRule="auto"/>
        <w:ind w:firstLine="640" w:firstLineChars="200"/>
        <w:outlineLvl w:val="0"/>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一般公共预算拨款安排的“三公”经费预算支出0.8万元，比上年预算增加0万元，增长0%；其中：</w:t>
      </w:r>
    </w:p>
    <w:p>
      <w:pPr>
        <w:pageBreakBefore w:val="0"/>
        <w:numPr>
          <w:ilvl w:val="0"/>
          <w:numId w:val="5"/>
        </w:numPr>
        <w:kinsoku/>
        <w:wordWrap/>
        <w:overflowPunct/>
        <w:topLinePunct w:val="0"/>
        <w:bidi w:val="0"/>
        <w:spacing w:line="360" w:lineRule="auto"/>
        <w:ind w:firstLine="640" w:firstLineChars="200"/>
        <w:outlineLvl w:val="0"/>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因公出国（境）费预算支出0万元，比上年预算增加0万元，主要原因为无因公出国（境）费支出。</w:t>
      </w:r>
    </w:p>
    <w:p>
      <w:pPr>
        <w:pageBreakBefore w:val="0"/>
        <w:numPr>
          <w:ilvl w:val="0"/>
          <w:numId w:val="5"/>
        </w:numPr>
        <w:kinsoku/>
        <w:wordWrap/>
        <w:overflowPunct/>
        <w:topLinePunct w:val="0"/>
        <w:bidi w:val="0"/>
        <w:spacing w:line="360" w:lineRule="auto"/>
        <w:ind w:firstLine="640" w:firstLineChars="200"/>
        <w:outlineLvl w:val="0"/>
        <w:rPr>
          <w:rFonts w:hint="eastAsia" w:ascii="宋体" w:hAnsi="宋体" w:eastAsia="宋体" w:cs="宋体"/>
          <w:sz w:val="32"/>
          <w:szCs w:val="32"/>
          <w:highlight w:val="none"/>
        </w:rPr>
      </w:pPr>
      <w:r>
        <w:rPr>
          <w:rFonts w:hint="eastAsia" w:ascii="宋体" w:hAnsi="宋体" w:eastAsia="宋体" w:cs="宋体"/>
          <w:sz w:val="32"/>
          <w:szCs w:val="32"/>
          <w:highlight w:val="none"/>
          <w:lang w:val="en-US" w:eastAsia="zh-CN"/>
        </w:rPr>
        <w:t>公务用车购置及运行维护费预算支出0.8万元。其中：</w:t>
      </w:r>
    </w:p>
    <w:p>
      <w:pPr>
        <w:pageBreakBefore w:val="0"/>
        <w:numPr>
          <w:ilvl w:val="0"/>
          <w:numId w:val="6"/>
        </w:numPr>
        <w:kinsoku/>
        <w:wordWrap/>
        <w:overflowPunct/>
        <w:topLinePunct w:val="0"/>
        <w:bidi w:val="0"/>
        <w:spacing w:line="360" w:lineRule="auto"/>
        <w:ind w:firstLine="640" w:firstLineChars="200"/>
        <w:outlineLvl w:val="0"/>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公务用车购置预算支出0万元，比上年预算增加0万元，主要原因无公务用车购置支出。</w:t>
      </w:r>
    </w:p>
    <w:p>
      <w:pPr>
        <w:pageBreakBefore w:val="0"/>
        <w:numPr>
          <w:ilvl w:val="0"/>
          <w:numId w:val="6"/>
        </w:numPr>
        <w:kinsoku/>
        <w:wordWrap/>
        <w:overflowPunct/>
        <w:topLinePunct w:val="0"/>
        <w:bidi w:val="0"/>
        <w:spacing w:line="360" w:lineRule="auto"/>
        <w:ind w:left="0" w:leftChars="0" w:firstLine="640" w:firstLineChars="200"/>
        <w:outlineLvl w:val="0"/>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公务用车运行维护费预算支出0.8万元，比上年预算增加0万元，主要原因：与上年持平。</w:t>
      </w:r>
    </w:p>
    <w:p>
      <w:pPr>
        <w:pageBreakBefore w:val="0"/>
        <w:numPr>
          <w:ilvl w:val="0"/>
          <w:numId w:val="0"/>
        </w:numPr>
        <w:kinsoku/>
        <w:wordWrap/>
        <w:overflowPunct/>
        <w:topLinePunct w:val="0"/>
        <w:bidi w:val="0"/>
        <w:spacing w:line="360" w:lineRule="auto"/>
        <w:ind w:firstLine="640" w:firstLineChars="200"/>
        <w:outlineLvl w:val="0"/>
        <w:rPr>
          <w:rFonts w:hint="eastAsia" w:ascii="宋体" w:hAnsi="宋体" w:eastAsia="宋体" w:cs="宋体"/>
          <w:sz w:val="32"/>
          <w:szCs w:val="32"/>
          <w:highlight w:val="none"/>
        </w:rPr>
      </w:pPr>
      <w:r>
        <w:rPr>
          <w:rFonts w:hint="eastAsia" w:ascii="宋体" w:hAnsi="宋体" w:eastAsia="宋体" w:cs="宋体"/>
          <w:sz w:val="32"/>
          <w:szCs w:val="32"/>
          <w:highlight w:val="none"/>
          <w:lang w:val="en-US" w:eastAsia="zh-CN"/>
        </w:rPr>
        <w:t>3．公务接待费预算支出0万元，比上年预算增加0万元，主要原因无公务接待费支出</w:t>
      </w:r>
    </w:p>
    <w:p>
      <w:pPr>
        <w:pageBreakBefore w:val="0"/>
        <w:kinsoku/>
        <w:wordWrap/>
        <w:overflowPunct/>
        <w:topLinePunct w:val="0"/>
        <w:bidi w:val="0"/>
        <w:spacing w:line="360" w:lineRule="auto"/>
        <w:ind w:firstLine="643" w:firstLineChars="200"/>
        <w:outlineLvl w:val="0"/>
        <w:rPr>
          <w:rFonts w:hint="eastAsia" w:ascii="宋体" w:hAnsi="宋体" w:eastAsia="宋体" w:cs="宋体"/>
          <w:b/>
          <w:bCs/>
          <w:sz w:val="32"/>
          <w:szCs w:val="36"/>
        </w:rPr>
      </w:pPr>
      <w:r>
        <w:rPr>
          <w:rFonts w:hint="eastAsia" w:ascii="宋体" w:hAnsi="宋体" w:eastAsia="宋体" w:cs="宋体"/>
          <w:b/>
          <w:bCs/>
          <w:sz w:val="32"/>
          <w:szCs w:val="36"/>
        </w:rPr>
        <w:t>八、政府性基金预算支出预算情况说明</w:t>
      </w:r>
    </w:p>
    <w:p>
      <w:pPr>
        <w:pStyle w:val="10"/>
        <w:pageBreakBefore w:val="0"/>
        <w:tabs>
          <w:tab w:val="left" w:pos="3792"/>
        </w:tabs>
        <w:kinsoku/>
        <w:wordWrap/>
        <w:overflowPunct/>
        <w:topLinePunct w:val="0"/>
        <w:bidi w:val="0"/>
        <w:spacing w:after="0"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u w:val="single"/>
        </w:rPr>
        <w:t>锡林郭勒盟社会福利院</w:t>
      </w:r>
      <w:r>
        <w:rPr>
          <w:rFonts w:hint="eastAsia" w:ascii="宋体" w:hAnsi="宋体" w:eastAsia="宋体" w:cs="宋体"/>
          <w:sz w:val="32"/>
          <w:szCs w:val="32"/>
          <w:highlight w:val="none"/>
        </w:rPr>
        <w:t>202</w:t>
      </w:r>
      <w:r>
        <w:rPr>
          <w:rFonts w:hint="eastAsia" w:ascii="宋体" w:hAnsi="宋体" w:eastAsia="宋体" w:cs="宋体"/>
          <w:sz w:val="32"/>
          <w:szCs w:val="32"/>
          <w:highlight w:val="none"/>
          <w:lang w:val="en-US" w:eastAsia="zh-CN"/>
        </w:rPr>
        <w:t>5</w:t>
      </w:r>
      <w:r>
        <w:rPr>
          <w:rFonts w:hint="eastAsia" w:ascii="宋体" w:hAnsi="宋体" w:eastAsia="宋体" w:cs="宋体"/>
          <w:sz w:val="32"/>
          <w:szCs w:val="32"/>
          <w:highlight w:val="none"/>
        </w:rPr>
        <w:t>年政府性基金支出预算支出</w:t>
      </w:r>
      <w:r>
        <w:rPr>
          <w:rFonts w:hint="eastAsia" w:ascii="宋体" w:hAnsi="宋体" w:eastAsia="宋体" w:cs="宋体"/>
          <w:sz w:val="32"/>
          <w:szCs w:val="32"/>
          <w:highlight w:val="none"/>
          <w:lang w:val="en-US" w:eastAsia="zh-CN"/>
        </w:rPr>
        <w:t>140.56</w:t>
      </w:r>
      <w:r>
        <w:rPr>
          <w:rFonts w:hint="eastAsia" w:ascii="宋体" w:hAnsi="宋体" w:eastAsia="宋体" w:cs="宋体"/>
          <w:sz w:val="32"/>
          <w:szCs w:val="32"/>
          <w:highlight w:val="none"/>
        </w:rPr>
        <w:t>万元。与上年相比</w:t>
      </w:r>
      <w:r>
        <w:rPr>
          <w:rFonts w:hint="eastAsia" w:ascii="宋体" w:hAnsi="宋体" w:eastAsia="宋体" w:cs="宋体"/>
          <w:sz w:val="32"/>
          <w:szCs w:val="32"/>
          <w:highlight w:val="none"/>
          <w:lang w:val="en-US" w:eastAsia="zh-CN"/>
        </w:rPr>
        <w:t>减少27.45</w:t>
      </w:r>
      <w:r>
        <w:rPr>
          <w:rFonts w:hint="eastAsia" w:ascii="宋体" w:hAnsi="宋体" w:eastAsia="宋体" w:cs="宋体"/>
          <w:sz w:val="32"/>
          <w:szCs w:val="32"/>
          <w:highlight w:val="none"/>
        </w:rPr>
        <w:t>万元，</w:t>
      </w:r>
      <w:r>
        <w:rPr>
          <w:rFonts w:hint="eastAsia" w:ascii="宋体" w:hAnsi="宋体" w:eastAsia="宋体" w:cs="宋体"/>
          <w:sz w:val="32"/>
          <w:szCs w:val="32"/>
          <w:highlight w:val="none"/>
          <w:lang w:val="en-US" w:eastAsia="zh-CN"/>
        </w:rPr>
        <w:t>减少16.34</w:t>
      </w:r>
      <w:r>
        <w:rPr>
          <w:rFonts w:hint="eastAsia" w:ascii="宋体" w:hAnsi="宋体" w:eastAsia="宋体" w:cs="宋体"/>
          <w:sz w:val="32"/>
          <w:szCs w:val="32"/>
          <w:highlight w:val="none"/>
        </w:rPr>
        <w:t>%。主要原因</w:t>
      </w:r>
      <w:r>
        <w:rPr>
          <w:rFonts w:hint="eastAsia" w:ascii="宋体" w:hAnsi="宋体" w:eastAsia="宋体" w:cs="宋体"/>
          <w:sz w:val="32"/>
          <w:szCs w:val="32"/>
          <w:highlight w:val="none"/>
          <w:lang w:val="en-US" w:eastAsia="zh-CN"/>
        </w:rPr>
        <w:t>是</w:t>
      </w:r>
      <w:r>
        <w:rPr>
          <w:rFonts w:hint="eastAsia" w:ascii="宋体" w:hAnsi="宋体" w:eastAsia="宋体" w:cs="宋体"/>
          <w:sz w:val="32"/>
          <w:szCs w:val="32"/>
          <w:lang w:val="en-US" w:eastAsia="zh-CN"/>
        </w:rPr>
        <w:t>上年政府性基金养老服务提升项目资金140万元本年剩余42万元，本年消防改造资金增加70万元</w:t>
      </w:r>
      <w:r>
        <w:rPr>
          <w:rFonts w:hint="eastAsia" w:ascii="宋体" w:hAnsi="宋体" w:eastAsia="宋体" w:cs="宋体"/>
          <w:sz w:val="32"/>
          <w:szCs w:val="32"/>
        </w:rPr>
        <w:t>。</w:t>
      </w:r>
    </w:p>
    <w:p>
      <w:pPr>
        <w:pageBreakBefore w:val="0"/>
        <w:kinsoku/>
        <w:wordWrap/>
        <w:overflowPunct/>
        <w:topLinePunct w:val="0"/>
        <w:bidi w:val="0"/>
        <w:spacing w:line="360" w:lineRule="auto"/>
        <w:ind w:firstLine="640" w:firstLineChars="200"/>
        <w:outlineLvl w:val="0"/>
        <w:rPr>
          <w:rFonts w:hint="default"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rPr>
        <w:t>其中：1．用于社会福利的彩票公益金支出</w:t>
      </w:r>
      <w:r>
        <w:rPr>
          <w:rFonts w:hint="eastAsia" w:ascii="宋体" w:hAnsi="宋体" w:eastAsia="宋体" w:cs="宋体"/>
          <w:color w:val="auto"/>
          <w:sz w:val="32"/>
          <w:szCs w:val="32"/>
          <w:highlight w:val="none"/>
          <w:lang w:val="en-US" w:eastAsia="zh-CN"/>
        </w:rPr>
        <w:t>1.1</w:t>
      </w:r>
      <w:r>
        <w:rPr>
          <w:rFonts w:hint="eastAsia" w:ascii="宋体" w:hAnsi="宋体" w:eastAsia="宋体" w:cs="宋体"/>
          <w:color w:val="auto"/>
          <w:sz w:val="32"/>
          <w:szCs w:val="32"/>
          <w:highlight w:val="none"/>
        </w:rPr>
        <w:t>万元，主要是用于单位购买养老机构责任保险支出。</w:t>
      </w:r>
      <w:r>
        <w:rPr>
          <w:rFonts w:hint="eastAsia" w:ascii="宋体" w:hAnsi="宋体" w:eastAsia="宋体" w:cs="宋体"/>
          <w:color w:val="auto"/>
          <w:sz w:val="32"/>
          <w:szCs w:val="32"/>
          <w:highlight w:val="none"/>
          <w:lang w:val="en-US" w:eastAsia="zh-CN"/>
        </w:rPr>
        <w:t>2</w:t>
      </w:r>
      <w:r>
        <w:rPr>
          <w:rFonts w:hint="eastAsia" w:ascii="宋体" w:hAnsi="宋体" w:eastAsia="宋体" w:cs="宋体"/>
          <w:color w:val="auto"/>
          <w:sz w:val="32"/>
          <w:szCs w:val="32"/>
          <w:highlight w:val="none"/>
        </w:rPr>
        <w:t>．用于社会福利的彩票公益金支出</w:t>
      </w:r>
      <w:r>
        <w:rPr>
          <w:rFonts w:hint="eastAsia" w:ascii="宋体" w:hAnsi="宋体" w:eastAsia="宋体" w:cs="宋体"/>
          <w:color w:val="auto"/>
          <w:sz w:val="32"/>
          <w:szCs w:val="32"/>
          <w:highlight w:val="none"/>
          <w:lang w:val="en-US" w:eastAsia="zh-CN"/>
        </w:rPr>
        <w:t>96.84</w:t>
      </w:r>
      <w:r>
        <w:rPr>
          <w:rFonts w:hint="eastAsia" w:ascii="宋体" w:hAnsi="宋体" w:eastAsia="宋体" w:cs="宋体"/>
          <w:color w:val="auto"/>
          <w:sz w:val="32"/>
          <w:szCs w:val="32"/>
          <w:highlight w:val="none"/>
        </w:rPr>
        <w:t>万元，主要是用于</w:t>
      </w:r>
      <w:r>
        <w:rPr>
          <w:rFonts w:hint="eastAsia" w:ascii="宋体" w:hAnsi="宋体" w:eastAsia="宋体" w:cs="宋体"/>
          <w:color w:val="auto"/>
          <w:sz w:val="32"/>
          <w:szCs w:val="32"/>
          <w:highlight w:val="none"/>
          <w:lang w:val="en-US" w:eastAsia="zh-CN"/>
        </w:rPr>
        <w:t>盟社会福利院的</w:t>
      </w:r>
      <w:r>
        <w:rPr>
          <w:rFonts w:hint="eastAsia" w:ascii="宋体" w:hAnsi="宋体" w:eastAsia="宋体" w:cs="宋体"/>
          <w:color w:val="auto"/>
          <w:sz w:val="32"/>
          <w:szCs w:val="32"/>
          <w:highlight w:val="none"/>
        </w:rPr>
        <w:t>消防改造资金。</w:t>
      </w:r>
      <w:r>
        <w:rPr>
          <w:rFonts w:hint="eastAsia" w:ascii="宋体" w:hAnsi="宋体" w:eastAsia="宋体" w:cs="宋体"/>
          <w:color w:val="auto"/>
          <w:sz w:val="32"/>
          <w:szCs w:val="32"/>
          <w:highlight w:val="none"/>
          <w:lang w:val="en-US" w:eastAsia="zh-CN"/>
        </w:rPr>
        <w:t>3</w:t>
      </w:r>
      <w:r>
        <w:rPr>
          <w:rFonts w:hint="eastAsia" w:ascii="宋体" w:hAnsi="宋体" w:eastAsia="宋体" w:cs="宋体"/>
          <w:color w:val="auto"/>
          <w:sz w:val="32"/>
          <w:szCs w:val="32"/>
          <w:highlight w:val="none"/>
        </w:rPr>
        <w:t>．用于社会福利的彩票公益金支出</w:t>
      </w:r>
      <w:r>
        <w:rPr>
          <w:rFonts w:hint="eastAsia" w:ascii="宋体" w:hAnsi="宋体" w:eastAsia="宋体" w:cs="宋体"/>
          <w:color w:val="auto"/>
          <w:sz w:val="32"/>
          <w:szCs w:val="32"/>
          <w:highlight w:val="none"/>
          <w:lang w:val="en-US" w:eastAsia="zh-CN"/>
        </w:rPr>
        <w:t>42.6</w:t>
      </w:r>
      <w:r>
        <w:rPr>
          <w:rFonts w:hint="eastAsia" w:ascii="宋体" w:hAnsi="宋体" w:eastAsia="宋体" w:cs="宋体"/>
          <w:color w:val="auto"/>
          <w:sz w:val="32"/>
          <w:szCs w:val="32"/>
          <w:highlight w:val="none"/>
        </w:rPr>
        <w:t>万元，主要是用于单位购买</w:t>
      </w:r>
      <w:r>
        <w:rPr>
          <w:rFonts w:hint="eastAsia" w:ascii="宋体" w:hAnsi="宋体" w:eastAsia="宋体" w:cs="宋体"/>
          <w:color w:val="auto"/>
          <w:sz w:val="32"/>
          <w:szCs w:val="32"/>
          <w:highlight w:val="none"/>
          <w:lang w:val="en-US" w:eastAsia="zh-CN"/>
        </w:rPr>
        <w:t>家具设备等</w:t>
      </w:r>
      <w:r>
        <w:rPr>
          <w:rFonts w:hint="eastAsia" w:ascii="宋体" w:hAnsi="宋体" w:eastAsia="宋体" w:cs="宋体"/>
          <w:color w:val="auto"/>
          <w:sz w:val="32"/>
          <w:szCs w:val="32"/>
          <w:highlight w:val="none"/>
        </w:rPr>
        <w:t>支出</w:t>
      </w:r>
      <w:r>
        <w:rPr>
          <w:rFonts w:hint="eastAsia" w:ascii="宋体" w:hAnsi="宋体" w:eastAsia="宋体" w:cs="宋体"/>
          <w:color w:val="auto"/>
          <w:sz w:val="32"/>
          <w:szCs w:val="32"/>
          <w:highlight w:val="none"/>
          <w:lang w:eastAsia="zh-CN"/>
        </w:rPr>
        <w:t>。</w:t>
      </w:r>
    </w:p>
    <w:p>
      <w:pPr>
        <w:pageBreakBefore w:val="0"/>
        <w:kinsoku/>
        <w:wordWrap/>
        <w:overflowPunct/>
        <w:topLinePunct w:val="0"/>
        <w:bidi w:val="0"/>
        <w:spacing w:line="360" w:lineRule="auto"/>
        <w:ind w:firstLine="643" w:firstLineChars="200"/>
        <w:outlineLvl w:val="0"/>
        <w:rPr>
          <w:rFonts w:hint="eastAsia" w:ascii="宋体" w:hAnsi="宋体" w:eastAsia="宋体" w:cs="宋体"/>
          <w:b/>
          <w:bCs/>
          <w:sz w:val="32"/>
          <w:szCs w:val="36"/>
        </w:rPr>
      </w:pPr>
      <w:r>
        <w:rPr>
          <w:rFonts w:hint="eastAsia" w:ascii="宋体" w:hAnsi="宋体" w:eastAsia="宋体" w:cs="宋体"/>
          <w:b/>
          <w:bCs/>
          <w:sz w:val="32"/>
          <w:szCs w:val="36"/>
        </w:rPr>
        <w:t>九、国有资本经营预算支出预算情况说明</w:t>
      </w:r>
    </w:p>
    <w:p>
      <w:pPr>
        <w:pageBreakBefore w:val="0"/>
        <w:kinsoku/>
        <w:wordWrap/>
        <w:overflowPunct/>
        <w:topLinePunct w:val="0"/>
        <w:bidi w:val="0"/>
        <w:spacing w:line="360" w:lineRule="auto"/>
        <w:ind w:firstLine="640" w:firstLineChars="200"/>
        <w:outlineLvl w:val="0"/>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u w:val="single"/>
        </w:rPr>
        <w:t>锡林郭勒盟社会福利院</w:t>
      </w:r>
      <w:r>
        <w:rPr>
          <w:rFonts w:hint="eastAsia" w:ascii="宋体" w:hAnsi="宋体" w:eastAsia="宋体" w:cs="宋体"/>
          <w:sz w:val="32"/>
          <w:szCs w:val="32"/>
          <w:highlight w:val="none"/>
        </w:rPr>
        <w:t>202</w:t>
      </w:r>
      <w:r>
        <w:rPr>
          <w:rFonts w:hint="eastAsia" w:ascii="宋体" w:hAnsi="宋体" w:eastAsia="宋体" w:cs="宋体"/>
          <w:sz w:val="32"/>
          <w:szCs w:val="32"/>
          <w:highlight w:val="none"/>
          <w:lang w:val="en-US" w:eastAsia="zh-CN"/>
        </w:rPr>
        <w:t>5</w:t>
      </w:r>
      <w:r>
        <w:rPr>
          <w:rFonts w:hint="eastAsia" w:ascii="宋体" w:hAnsi="宋体" w:eastAsia="宋体" w:cs="宋体"/>
          <w:sz w:val="32"/>
          <w:szCs w:val="32"/>
          <w:highlight w:val="none"/>
        </w:rPr>
        <w:t>年国有资本经营预算支出0万元。与上年相比增加0万元，增长0%。主要原因</w:t>
      </w:r>
      <w:r>
        <w:rPr>
          <w:rFonts w:hint="eastAsia" w:ascii="宋体" w:hAnsi="宋体" w:eastAsia="宋体" w:cs="宋体"/>
          <w:sz w:val="32"/>
          <w:szCs w:val="32"/>
          <w:highlight w:val="none"/>
          <w:lang w:eastAsia="zh-CN"/>
        </w:rPr>
        <w:t>：</w:t>
      </w:r>
      <w:r>
        <w:rPr>
          <w:rFonts w:hint="eastAsia" w:ascii="宋体" w:hAnsi="宋体" w:eastAsia="宋体" w:cs="宋体"/>
          <w:sz w:val="32"/>
          <w:szCs w:val="32"/>
          <w:highlight w:val="none"/>
          <w:lang w:val="en-US" w:eastAsia="zh-CN"/>
        </w:rPr>
        <w:t>本单位</w:t>
      </w:r>
      <w:r>
        <w:rPr>
          <w:rFonts w:hint="eastAsia" w:ascii="宋体" w:hAnsi="宋体" w:eastAsia="宋体" w:cs="宋体"/>
          <w:sz w:val="32"/>
          <w:szCs w:val="32"/>
          <w:highlight w:val="none"/>
        </w:rPr>
        <w:t>无国有资本经营</w:t>
      </w:r>
      <w:r>
        <w:rPr>
          <w:rFonts w:hint="eastAsia" w:ascii="宋体" w:hAnsi="宋体" w:eastAsia="宋体" w:cs="宋体"/>
          <w:sz w:val="32"/>
          <w:szCs w:val="32"/>
          <w:highlight w:val="none"/>
          <w:lang w:val="en-US" w:eastAsia="zh-CN"/>
        </w:rPr>
        <w:t>预算</w:t>
      </w:r>
      <w:r>
        <w:rPr>
          <w:rFonts w:hint="eastAsia" w:ascii="宋体" w:hAnsi="宋体" w:eastAsia="宋体" w:cs="宋体"/>
          <w:sz w:val="32"/>
          <w:szCs w:val="32"/>
          <w:highlight w:val="none"/>
        </w:rPr>
        <w:t>支出</w:t>
      </w:r>
      <w:r>
        <w:rPr>
          <w:rFonts w:hint="eastAsia" w:ascii="宋体" w:hAnsi="宋体" w:eastAsia="宋体" w:cs="宋体"/>
          <w:sz w:val="32"/>
          <w:szCs w:val="32"/>
          <w:highlight w:val="none"/>
          <w:lang w:eastAsia="zh-CN"/>
        </w:rPr>
        <w:t>。</w:t>
      </w:r>
    </w:p>
    <w:p>
      <w:pPr>
        <w:pageBreakBefore w:val="0"/>
        <w:kinsoku/>
        <w:wordWrap/>
        <w:overflowPunct/>
        <w:topLinePunct w:val="0"/>
        <w:bidi w:val="0"/>
        <w:spacing w:line="360" w:lineRule="auto"/>
        <w:ind w:firstLine="643" w:firstLineChars="200"/>
        <w:rPr>
          <w:rFonts w:hint="eastAsia" w:ascii="宋体" w:hAnsi="宋体" w:eastAsia="宋体" w:cs="宋体"/>
          <w:b/>
          <w:bCs/>
          <w:i/>
          <w:iCs/>
          <w:highlight w:val="yellow"/>
        </w:rPr>
      </w:pPr>
      <w:r>
        <w:rPr>
          <w:rFonts w:hint="eastAsia" w:ascii="宋体" w:hAnsi="宋体" w:eastAsia="宋体" w:cs="宋体"/>
          <w:b/>
          <w:bCs/>
          <w:sz w:val="32"/>
          <w:szCs w:val="36"/>
        </w:rPr>
        <w:t>十、项目支出预算情况说明</w:t>
      </w:r>
    </w:p>
    <w:p>
      <w:pPr>
        <w:pageBreakBefore w:val="0"/>
        <w:kinsoku/>
        <w:wordWrap/>
        <w:overflowPunct/>
        <w:topLinePunct w:val="0"/>
        <w:bidi w:val="0"/>
        <w:spacing w:line="360" w:lineRule="auto"/>
        <w:ind w:firstLine="640" w:firstLineChars="200"/>
        <w:outlineLvl w:val="0"/>
        <w:rPr>
          <w:rFonts w:hint="eastAsia" w:ascii="宋体" w:hAnsi="宋体" w:eastAsia="宋体" w:cs="宋体"/>
          <w:sz w:val="32"/>
          <w:szCs w:val="32"/>
          <w:highlight w:val="none"/>
        </w:rPr>
      </w:pPr>
      <w:r>
        <w:rPr>
          <w:rFonts w:hint="eastAsia" w:ascii="宋体" w:hAnsi="宋体" w:eastAsia="宋体" w:cs="宋体"/>
          <w:sz w:val="32"/>
          <w:szCs w:val="32"/>
          <w:highlight w:val="none"/>
        </w:rPr>
        <w:t>202</w:t>
      </w:r>
      <w:r>
        <w:rPr>
          <w:rFonts w:hint="eastAsia" w:ascii="宋体" w:hAnsi="宋体" w:eastAsia="宋体" w:cs="宋体"/>
          <w:sz w:val="32"/>
          <w:szCs w:val="32"/>
          <w:highlight w:val="none"/>
          <w:lang w:val="en-US" w:eastAsia="zh-CN"/>
        </w:rPr>
        <w:t>5</w:t>
      </w:r>
      <w:r>
        <w:rPr>
          <w:rFonts w:hint="eastAsia" w:ascii="宋体" w:hAnsi="宋体" w:eastAsia="宋体" w:cs="宋体"/>
          <w:sz w:val="32"/>
          <w:szCs w:val="32"/>
          <w:highlight w:val="none"/>
        </w:rPr>
        <w:t>年单位预算安排项目</w:t>
      </w:r>
      <w:r>
        <w:rPr>
          <w:rFonts w:hint="eastAsia" w:ascii="宋体" w:hAnsi="宋体" w:eastAsia="宋体" w:cs="宋体"/>
          <w:sz w:val="32"/>
          <w:szCs w:val="32"/>
          <w:highlight w:val="none"/>
          <w:lang w:val="en-US" w:eastAsia="zh-CN"/>
        </w:rPr>
        <w:t>11</w:t>
      </w:r>
      <w:r>
        <w:rPr>
          <w:rFonts w:hint="eastAsia" w:ascii="宋体" w:hAnsi="宋体" w:eastAsia="宋体" w:cs="宋体"/>
          <w:sz w:val="32"/>
          <w:szCs w:val="32"/>
          <w:highlight w:val="none"/>
        </w:rPr>
        <w:t>个，项目预算总</w:t>
      </w:r>
      <w:r>
        <w:rPr>
          <w:rFonts w:hint="eastAsia" w:ascii="宋体" w:hAnsi="宋体" w:eastAsia="宋体" w:cs="宋体"/>
          <w:sz w:val="32"/>
          <w:szCs w:val="32"/>
          <w:highlight w:val="none"/>
          <w:lang w:val="en-US" w:eastAsia="zh-CN"/>
        </w:rPr>
        <w:t>289.39</w:t>
      </w:r>
      <w:r>
        <w:rPr>
          <w:rFonts w:hint="eastAsia" w:ascii="宋体" w:hAnsi="宋体" w:eastAsia="宋体" w:cs="宋体"/>
          <w:sz w:val="32"/>
          <w:szCs w:val="32"/>
          <w:highlight w:val="none"/>
        </w:rPr>
        <w:t>万元。其中，财政本年拨款金额</w:t>
      </w:r>
      <w:r>
        <w:rPr>
          <w:rFonts w:hint="eastAsia" w:ascii="宋体" w:hAnsi="宋体" w:eastAsia="宋体" w:cs="宋体"/>
          <w:sz w:val="32"/>
          <w:szCs w:val="32"/>
          <w:highlight w:val="none"/>
          <w:lang w:val="en-US" w:eastAsia="zh-CN"/>
        </w:rPr>
        <w:t>202.14</w:t>
      </w:r>
      <w:r>
        <w:rPr>
          <w:rFonts w:hint="eastAsia" w:ascii="宋体" w:hAnsi="宋体" w:eastAsia="宋体" w:cs="宋体"/>
          <w:sz w:val="32"/>
          <w:szCs w:val="32"/>
          <w:highlight w:val="none"/>
        </w:rPr>
        <w:t>万元，财政拨款结转结余</w:t>
      </w:r>
      <w:r>
        <w:rPr>
          <w:rFonts w:hint="eastAsia" w:ascii="宋体" w:hAnsi="宋体" w:eastAsia="宋体" w:cs="宋体"/>
          <w:sz w:val="32"/>
          <w:szCs w:val="32"/>
          <w:highlight w:val="none"/>
          <w:lang w:val="en-US" w:eastAsia="zh-CN"/>
        </w:rPr>
        <w:t>87.25</w:t>
      </w:r>
      <w:r>
        <w:rPr>
          <w:rFonts w:hint="eastAsia" w:ascii="宋体" w:hAnsi="宋体" w:eastAsia="宋体" w:cs="宋体"/>
          <w:sz w:val="32"/>
          <w:szCs w:val="32"/>
          <w:highlight w:val="none"/>
        </w:rPr>
        <w:t>万元，财政专户管理资金0万元，单位资金0万元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Segoe UI" w:hAnsi="Segoe UI" w:eastAsia="Segoe UI" w:cs="Segoe UI"/>
          <w:i w:val="0"/>
          <w:caps w:val="0"/>
          <w:color w:val="606266"/>
          <w:spacing w:val="0"/>
          <w:sz w:val="21"/>
          <w:szCs w:val="21"/>
        </w:rPr>
      </w:pPr>
      <w:r>
        <w:rPr>
          <w:rFonts w:hint="eastAsia" w:ascii="宋体" w:hAnsi="宋体" w:eastAsia="宋体" w:cs="宋体"/>
          <w:b w:val="0"/>
          <w:bCs w:val="0"/>
          <w:sz w:val="32"/>
          <w:szCs w:val="32"/>
          <w:highlight w:val="none"/>
          <w:lang w:val="en-US" w:eastAsia="zh-CN"/>
        </w:rPr>
        <w:t>（一）项目名称：</w:t>
      </w:r>
      <w:r>
        <w:rPr>
          <w:rFonts w:hint="default" w:ascii="宋体" w:hAnsi="宋体" w:eastAsia="宋体" w:cs="宋体"/>
          <w:sz w:val="32"/>
          <w:szCs w:val="32"/>
          <w:highlight w:val="none"/>
          <w:lang w:val="en-US" w:eastAsia="zh-CN"/>
        </w:rPr>
        <w:t>特困供养资金</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1.项目概述：</w:t>
      </w:r>
      <w:r>
        <w:rPr>
          <w:rFonts w:hint="default" w:ascii="宋体" w:hAnsi="宋体" w:eastAsia="宋体" w:cs="宋体"/>
          <w:sz w:val="32"/>
          <w:szCs w:val="32"/>
          <w:highlight w:val="none"/>
          <w:lang w:val="en-US" w:eastAsia="zh-CN"/>
        </w:rPr>
        <w:t>保障入住福利院的2</w:t>
      </w:r>
      <w:r>
        <w:rPr>
          <w:rFonts w:hint="eastAsia" w:ascii="宋体" w:hAnsi="宋体" w:eastAsia="宋体" w:cs="宋体"/>
          <w:sz w:val="32"/>
          <w:szCs w:val="32"/>
          <w:highlight w:val="none"/>
          <w:lang w:val="en-US" w:eastAsia="zh-CN"/>
        </w:rPr>
        <w:t>4</w:t>
      </w:r>
      <w:r>
        <w:rPr>
          <w:rFonts w:hint="default" w:ascii="宋体" w:hAnsi="宋体" w:eastAsia="宋体" w:cs="宋体"/>
          <w:sz w:val="32"/>
          <w:szCs w:val="32"/>
          <w:highlight w:val="none"/>
          <w:lang w:val="en-US" w:eastAsia="zh-CN"/>
        </w:rPr>
        <w:t>名特困人员日常生活的全部支出。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2.立项依据：</w:t>
      </w:r>
      <w:r>
        <w:rPr>
          <w:rFonts w:hint="default" w:ascii="宋体" w:hAnsi="宋体" w:eastAsia="宋体" w:cs="宋体"/>
          <w:sz w:val="32"/>
          <w:szCs w:val="32"/>
          <w:highlight w:val="none"/>
          <w:lang w:val="en-US" w:eastAsia="zh-CN"/>
        </w:rPr>
        <w:t>根据《内蒙古自治区困难群众救助补助资金管理办法》文件精神，2024年预计向锡盟社会福利院下达困难群众救助补助18万元。</w:t>
      </w:r>
    </w:p>
    <w:p>
      <w:pPr>
        <w:keepNext w:val="0"/>
        <w:keepLines w:val="0"/>
        <w:pageBreakBefore w:val="0"/>
        <w:kinsoku/>
        <w:wordWrap/>
        <w:overflowPunct/>
        <w:topLinePunct w:val="0"/>
        <w:autoSpaceDE/>
        <w:autoSpaceDN/>
        <w:bidi w:val="0"/>
        <w:adjustRightInd/>
        <w:snapToGrid/>
        <w:spacing w:line="360" w:lineRule="auto"/>
        <w:ind w:left="105" w:leftChars="50" w:right="105" w:rightChars="50" w:firstLine="640" w:firstLineChars="200"/>
        <w:jc w:val="left"/>
        <w:outlineLvl w:val="0"/>
        <w:rPr>
          <w:rFonts w:hint="eastAsia" w:ascii="宋体" w:hAnsi="宋体" w:eastAsia="宋体" w:cs="宋体"/>
          <w:sz w:val="32"/>
          <w:szCs w:val="32"/>
          <w:highlight w:val="none"/>
        </w:rPr>
      </w:pPr>
      <w:r>
        <w:rPr>
          <w:rFonts w:hint="eastAsia" w:ascii="宋体" w:hAnsi="宋体" w:eastAsia="宋体" w:cs="宋体"/>
          <w:sz w:val="32"/>
          <w:szCs w:val="32"/>
          <w:highlight w:val="none"/>
          <w:lang w:val="en-US" w:eastAsia="zh-CN"/>
        </w:rPr>
        <w:t>3.实施主体：锡林郭勒盟社会福利院</w:t>
      </w:r>
    </w:p>
    <w:p>
      <w:pPr>
        <w:keepNext w:val="0"/>
        <w:keepLines w:val="0"/>
        <w:pageBreakBefore w:val="0"/>
        <w:kinsoku/>
        <w:wordWrap/>
        <w:overflowPunct/>
        <w:topLinePunct w:val="0"/>
        <w:autoSpaceDE/>
        <w:autoSpaceDN/>
        <w:bidi w:val="0"/>
        <w:adjustRightInd/>
        <w:snapToGrid/>
        <w:spacing w:line="360" w:lineRule="auto"/>
        <w:ind w:left="105" w:leftChars="50" w:right="105" w:rightChars="50" w:firstLine="640" w:firstLineChars="200"/>
        <w:jc w:val="left"/>
        <w:outlineLvl w:val="0"/>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4.实施方案：24名特困人员每人每月补助基本生活费1600元，全失能人员护理费1386元，半失能人员护理费594元，到补助资金用完为止。</w:t>
      </w:r>
    </w:p>
    <w:p>
      <w:pPr>
        <w:keepNext w:val="0"/>
        <w:keepLines w:val="0"/>
        <w:pageBreakBefore w:val="0"/>
        <w:kinsoku/>
        <w:wordWrap/>
        <w:overflowPunct/>
        <w:topLinePunct w:val="0"/>
        <w:autoSpaceDE/>
        <w:autoSpaceDN/>
        <w:bidi w:val="0"/>
        <w:adjustRightInd/>
        <w:snapToGrid/>
        <w:spacing w:line="360" w:lineRule="auto"/>
        <w:ind w:left="105" w:leftChars="50" w:right="105" w:rightChars="50" w:firstLine="640" w:firstLineChars="200"/>
        <w:jc w:val="left"/>
        <w:outlineLvl w:val="0"/>
        <w:rPr>
          <w:rFonts w:hint="eastAsia" w:ascii="宋体" w:hAnsi="宋体" w:eastAsia="宋体" w:cs="宋体"/>
          <w:sz w:val="32"/>
          <w:szCs w:val="32"/>
          <w:highlight w:val="none"/>
        </w:rPr>
      </w:pPr>
      <w:r>
        <w:rPr>
          <w:rFonts w:hint="eastAsia" w:ascii="宋体" w:hAnsi="宋体" w:eastAsia="宋体" w:cs="宋体"/>
          <w:sz w:val="32"/>
          <w:szCs w:val="32"/>
          <w:highlight w:val="none"/>
          <w:lang w:val="en-US" w:eastAsia="zh-CN"/>
        </w:rPr>
        <w:t>5.实施周期：2025年1月1日至2025年12月31日。</w:t>
      </w:r>
    </w:p>
    <w:p>
      <w:pPr>
        <w:keepNext w:val="0"/>
        <w:keepLines w:val="0"/>
        <w:pageBreakBefore w:val="0"/>
        <w:kinsoku/>
        <w:wordWrap/>
        <w:overflowPunct/>
        <w:topLinePunct w:val="0"/>
        <w:autoSpaceDE/>
        <w:autoSpaceDN/>
        <w:bidi w:val="0"/>
        <w:adjustRightInd/>
        <w:snapToGrid/>
        <w:spacing w:line="360" w:lineRule="auto"/>
        <w:ind w:left="105" w:leftChars="50" w:right="105" w:rightChars="50" w:firstLine="640" w:firstLineChars="200"/>
        <w:jc w:val="left"/>
        <w:outlineLvl w:val="0"/>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6.年度预算安排：2025年该项目预算18万元。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b w:val="0"/>
          <w:bCs w:val="0"/>
          <w:sz w:val="32"/>
          <w:szCs w:val="32"/>
          <w:highlight w:val="none"/>
          <w:lang w:val="en-US" w:eastAsia="zh-CN"/>
        </w:rPr>
      </w:pPr>
      <w:r>
        <w:rPr>
          <w:rFonts w:hint="eastAsia" w:ascii="宋体" w:hAnsi="宋体" w:eastAsia="宋体" w:cs="宋体"/>
          <w:b w:val="0"/>
          <w:bCs w:val="0"/>
          <w:sz w:val="32"/>
          <w:szCs w:val="32"/>
          <w:highlight w:val="none"/>
          <w:lang w:val="en-US" w:eastAsia="zh-CN"/>
        </w:rPr>
        <w:t>（二）项目名称：</w:t>
      </w:r>
      <w:r>
        <w:rPr>
          <w:rFonts w:hint="default" w:ascii="宋体" w:hAnsi="宋体" w:eastAsia="宋体" w:cs="宋体"/>
          <w:b w:val="0"/>
          <w:bCs w:val="0"/>
          <w:sz w:val="32"/>
          <w:szCs w:val="32"/>
          <w:highlight w:val="none"/>
          <w:lang w:val="en-US" w:eastAsia="zh-CN"/>
        </w:rPr>
        <w:t>养老机构责任保险（锡财社【2024】1123号）</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b w:val="0"/>
          <w:bCs w:val="0"/>
          <w:sz w:val="32"/>
          <w:szCs w:val="32"/>
          <w:highlight w:val="none"/>
          <w:lang w:val="en-US" w:eastAsia="zh-CN"/>
        </w:rPr>
      </w:pPr>
      <w:r>
        <w:rPr>
          <w:rFonts w:hint="eastAsia" w:ascii="宋体" w:hAnsi="宋体" w:eastAsia="宋体" w:cs="宋体"/>
          <w:b w:val="0"/>
          <w:bCs w:val="0"/>
          <w:sz w:val="32"/>
          <w:szCs w:val="32"/>
          <w:highlight w:val="none"/>
          <w:lang w:val="en-US" w:eastAsia="zh-CN"/>
        </w:rPr>
        <w:t>1.项目概述：</w:t>
      </w:r>
      <w:r>
        <w:rPr>
          <w:rFonts w:hint="default" w:ascii="宋体" w:hAnsi="宋体" w:eastAsia="宋体" w:cs="宋体"/>
          <w:b w:val="0"/>
          <w:bCs w:val="0"/>
          <w:sz w:val="32"/>
          <w:szCs w:val="32"/>
          <w:highlight w:val="none"/>
          <w:lang w:val="en-US" w:eastAsia="zh-CN"/>
        </w:rPr>
        <w:t>用于购买养老机构责任保险</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b w:val="0"/>
          <w:bCs w:val="0"/>
          <w:sz w:val="32"/>
          <w:szCs w:val="32"/>
          <w:highlight w:val="none"/>
          <w:lang w:val="en-US" w:eastAsia="zh-CN"/>
        </w:rPr>
      </w:pPr>
      <w:r>
        <w:rPr>
          <w:rFonts w:hint="eastAsia" w:ascii="宋体" w:hAnsi="宋体" w:eastAsia="宋体" w:cs="宋体"/>
          <w:b w:val="0"/>
          <w:bCs w:val="0"/>
          <w:sz w:val="32"/>
          <w:szCs w:val="32"/>
          <w:highlight w:val="none"/>
          <w:lang w:val="en-US" w:eastAsia="zh-CN"/>
        </w:rPr>
        <w:t>2.立项依据：</w:t>
      </w:r>
      <w:r>
        <w:rPr>
          <w:rFonts w:hint="default" w:ascii="宋体" w:hAnsi="宋体" w:eastAsia="宋体" w:cs="宋体"/>
          <w:b w:val="0"/>
          <w:bCs w:val="0"/>
          <w:sz w:val="32"/>
          <w:szCs w:val="32"/>
          <w:highlight w:val="none"/>
          <w:lang w:val="en-US" w:eastAsia="zh-CN"/>
        </w:rPr>
        <w:t>依据《锡林郭勒盟财政局、民政局关于下达2024年自治区本级福彩公益金资助社会办养老机构床位运营、一次性建设补贴资金、责任保险补贴资金（第二批）的通知》（锡财社【2024】1123号）立项</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b w:val="0"/>
          <w:bCs w:val="0"/>
          <w:sz w:val="32"/>
          <w:szCs w:val="32"/>
          <w:highlight w:val="none"/>
          <w:lang w:val="en-US" w:eastAsia="zh-CN"/>
        </w:rPr>
      </w:pPr>
      <w:r>
        <w:rPr>
          <w:rFonts w:hint="eastAsia" w:ascii="宋体" w:hAnsi="宋体" w:eastAsia="宋体" w:cs="宋体"/>
          <w:b w:val="0"/>
          <w:bCs w:val="0"/>
          <w:sz w:val="32"/>
          <w:szCs w:val="32"/>
          <w:highlight w:val="none"/>
          <w:lang w:val="en-US" w:eastAsia="zh-CN"/>
        </w:rPr>
        <w:t>3.实施主体：锡林郭勒盟社会福利院</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b w:val="0"/>
          <w:bCs w:val="0"/>
          <w:sz w:val="32"/>
          <w:szCs w:val="32"/>
          <w:highlight w:val="none"/>
          <w:lang w:val="en-US" w:eastAsia="zh-CN"/>
        </w:rPr>
      </w:pPr>
      <w:r>
        <w:rPr>
          <w:rFonts w:hint="eastAsia" w:ascii="宋体" w:hAnsi="宋体" w:eastAsia="宋体" w:cs="宋体"/>
          <w:b w:val="0"/>
          <w:bCs w:val="0"/>
          <w:sz w:val="32"/>
          <w:szCs w:val="32"/>
          <w:highlight w:val="none"/>
          <w:lang w:val="en-US" w:eastAsia="zh-CN"/>
        </w:rPr>
        <w:t>4.实施方案：使用福彩公益金用于养老机构购买养老机构责任保险，</w:t>
      </w:r>
    </w:p>
    <w:p>
      <w:pPr>
        <w:keepNext w:val="0"/>
        <w:keepLines w:val="0"/>
        <w:pageBreakBefore w:val="0"/>
        <w:kinsoku/>
        <w:wordWrap/>
        <w:overflowPunct/>
        <w:topLinePunct w:val="0"/>
        <w:autoSpaceDE/>
        <w:autoSpaceDN/>
        <w:bidi w:val="0"/>
        <w:adjustRightInd/>
        <w:snapToGrid/>
        <w:spacing w:line="360" w:lineRule="auto"/>
        <w:ind w:left="105" w:leftChars="50" w:right="105" w:rightChars="50" w:firstLine="640" w:firstLineChars="200"/>
        <w:jc w:val="left"/>
        <w:outlineLvl w:val="0"/>
        <w:rPr>
          <w:rFonts w:hint="eastAsia" w:ascii="宋体" w:hAnsi="宋体" w:eastAsia="宋体" w:cs="宋体"/>
          <w:sz w:val="32"/>
          <w:szCs w:val="32"/>
          <w:highlight w:val="none"/>
        </w:rPr>
      </w:pPr>
      <w:r>
        <w:rPr>
          <w:rFonts w:hint="eastAsia" w:ascii="宋体" w:hAnsi="宋体" w:eastAsia="宋体" w:cs="宋体"/>
          <w:sz w:val="32"/>
          <w:szCs w:val="32"/>
          <w:highlight w:val="none"/>
          <w:lang w:val="en-US" w:eastAsia="zh-CN"/>
        </w:rPr>
        <w:t>5.实施周期：2025年1月1日至2025年12月31日。</w:t>
      </w:r>
    </w:p>
    <w:p>
      <w:pPr>
        <w:keepNext w:val="0"/>
        <w:keepLines w:val="0"/>
        <w:pageBreakBefore w:val="0"/>
        <w:kinsoku/>
        <w:wordWrap/>
        <w:overflowPunct/>
        <w:topLinePunct w:val="0"/>
        <w:autoSpaceDE/>
        <w:autoSpaceDN/>
        <w:bidi w:val="0"/>
        <w:adjustRightInd/>
        <w:snapToGrid/>
        <w:spacing w:line="360" w:lineRule="auto"/>
        <w:ind w:left="105" w:leftChars="50" w:right="105" w:rightChars="50" w:firstLine="640" w:firstLineChars="200"/>
        <w:jc w:val="left"/>
        <w:outlineLvl w:val="0"/>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6.年度预算安排：2023年该项目预算1.1万元。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r>
        <w:rPr>
          <w:rFonts w:hint="eastAsia" w:ascii="宋体" w:hAnsi="宋体" w:eastAsia="宋体" w:cs="宋体"/>
          <w:b w:val="0"/>
          <w:bCs w:val="0"/>
          <w:sz w:val="32"/>
          <w:szCs w:val="32"/>
          <w:highlight w:val="none"/>
          <w:lang w:val="en-US" w:eastAsia="zh-CN"/>
        </w:rPr>
        <w:t>（三）项目名称：</w:t>
      </w:r>
      <w:r>
        <w:rPr>
          <w:rFonts w:hint="default" w:ascii="宋体" w:hAnsi="宋体" w:eastAsia="宋体" w:cs="宋体"/>
          <w:sz w:val="32"/>
          <w:szCs w:val="32"/>
          <w:highlight w:val="none"/>
          <w:lang w:val="en-US" w:eastAsia="zh-CN"/>
        </w:rPr>
        <w:t>2024年自治区养老服务补贴资金（内财社【2024】1434号）</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1.项目概述：</w:t>
      </w:r>
      <w:r>
        <w:rPr>
          <w:rFonts w:hint="default" w:ascii="宋体" w:hAnsi="宋体" w:eastAsia="宋体" w:cs="宋体"/>
          <w:sz w:val="32"/>
          <w:szCs w:val="32"/>
          <w:highlight w:val="none"/>
          <w:lang w:val="en-US" w:eastAsia="zh-CN"/>
        </w:rPr>
        <w:t>本项目资金用于补贴入住养老机构的老年人，降低老年人入住养老机构的成本。</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2.立项依据：</w:t>
      </w:r>
      <w:r>
        <w:rPr>
          <w:rFonts w:hint="default" w:ascii="宋体" w:hAnsi="宋体" w:eastAsia="宋体" w:cs="宋体"/>
          <w:sz w:val="32"/>
          <w:szCs w:val="32"/>
          <w:highlight w:val="none"/>
          <w:lang w:val="en-US" w:eastAsia="zh-CN"/>
        </w:rPr>
        <w:t>根据《内蒙古自治区财政厅 民政厅关于印发（内蒙古自治区养老服务补贴资金管理办法）的通知》（内财社规【2024】11号）和《内蒙古自治区财政厅 民政厅关于下达2024年自治区养老服务补贴资金（第二批）的通知》（内财社【2024】1434号）立项</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3.实施主体：锡林郭勒盟社会福利院</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4.实施方案：按照自理120元/月、失能360元/月、半失能240元/月标准对入住养老机构老人发放服务补贴资金。</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5.实施周期：2025年1月1日至2025年12月31日。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6.年度预算安排：2025年该项目预算10.7万元。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（四）项目名称：</w:t>
      </w:r>
      <w:r>
        <w:rPr>
          <w:rFonts w:hint="default" w:ascii="宋体" w:hAnsi="宋体" w:eastAsia="宋体" w:cs="宋体"/>
          <w:sz w:val="32"/>
          <w:szCs w:val="32"/>
          <w:highlight w:val="none"/>
          <w:lang w:val="en-US" w:eastAsia="zh-CN"/>
        </w:rPr>
        <w:t>消防改造资金（2025年）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1.项目概述：</w:t>
      </w:r>
      <w:r>
        <w:rPr>
          <w:rFonts w:hint="default" w:ascii="宋体" w:hAnsi="宋体" w:eastAsia="宋体" w:cs="宋体"/>
          <w:sz w:val="32"/>
          <w:szCs w:val="32"/>
          <w:highlight w:val="none"/>
          <w:lang w:val="en-US" w:eastAsia="zh-CN"/>
        </w:rPr>
        <w:t>用于盟社会福利院消防改造资金支出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2.立项依据：</w:t>
      </w:r>
      <w:r>
        <w:rPr>
          <w:rFonts w:hint="default" w:ascii="宋体" w:hAnsi="宋体" w:eastAsia="宋体" w:cs="宋体"/>
          <w:sz w:val="32"/>
          <w:szCs w:val="32"/>
          <w:highlight w:val="none"/>
          <w:lang w:val="en-US" w:eastAsia="zh-CN"/>
        </w:rPr>
        <w:t>根据《内蒙古自治区财政厅 民政厅关于提前下达2025年中央集中彩票公益金支持社会福利事业资金预算的通知》（内财社【2024】1469号）和相关资金管理办法规定立项</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3.实施主体：锡林郭勒盟社会福利院</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4.实施方案：</w:t>
      </w:r>
      <w:r>
        <w:rPr>
          <w:rFonts w:hint="default" w:ascii="宋体" w:hAnsi="宋体" w:eastAsia="宋体" w:cs="宋体"/>
          <w:sz w:val="32"/>
          <w:szCs w:val="32"/>
          <w:highlight w:val="none"/>
          <w:lang w:val="en-US" w:eastAsia="zh-CN"/>
        </w:rPr>
        <w:t>本次拨付项目资金95万元，主要包括委托业务费6万元和排烟改造系统工程89万元，以此来保障养老机构的消防安全，保障入住老人的安全。</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5.实施周期：2025年1月1日至2025年12月31日。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6.年度预算安排：2025年该项目预算95万元。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（五）项目名称：</w:t>
      </w:r>
      <w:r>
        <w:rPr>
          <w:rFonts w:hint="default" w:ascii="宋体" w:hAnsi="宋体" w:eastAsia="宋体" w:cs="宋体"/>
          <w:sz w:val="32"/>
          <w:szCs w:val="32"/>
          <w:highlight w:val="none"/>
          <w:lang w:val="en-US" w:eastAsia="zh-CN"/>
        </w:rPr>
        <w:t>自治区困难群众救助补助资金 （内财社【2023】1545号）</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1.项目概述：</w:t>
      </w:r>
      <w:r>
        <w:rPr>
          <w:rFonts w:hint="default" w:ascii="宋体" w:hAnsi="宋体" w:eastAsia="宋体" w:cs="宋体"/>
          <w:sz w:val="32"/>
          <w:szCs w:val="32"/>
          <w:highlight w:val="none"/>
          <w:lang w:val="en-US" w:eastAsia="zh-CN"/>
        </w:rPr>
        <w:t>保障入住福利院的2</w:t>
      </w:r>
      <w:r>
        <w:rPr>
          <w:rFonts w:hint="eastAsia" w:ascii="宋体" w:hAnsi="宋体" w:eastAsia="宋体" w:cs="宋体"/>
          <w:sz w:val="32"/>
          <w:szCs w:val="32"/>
          <w:highlight w:val="none"/>
          <w:lang w:val="en-US" w:eastAsia="zh-CN"/>
        </w:rPr>
        <w:t>4</w:t>
      </w:r>
      <w:r>
        <w:rPr>
          <w:rFonts w:hint="default" w:ascii="宋体" w:hAnsi="宋体" w:eastAsia="宋体" w:cs="宋体"/>
          <w:sz w:val="32"/>
          <w:szCs w:val="32"/>
          <w:highlight w:val="none"/>
          <w:lang w:val="en-US" w:eastAsia="zh-CN"/>
        </w:rPr>
        <w:t>名特困人员日常生活的全部支出。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2.立项依据：</w:t>
      </w:r>
      <w:r>
        <w:rPr>
          <w:rFonts w:hint="default" w:ascii="宋体" w:hAnsi="宋体" w:eastAsia="宋体" w:cs="宋体"/>
          <w:sz w:val="32"/>
          <w:szCs w:val="32"/>
          <w:highlight w:val="none"/>
          <w:lang w:val="en-US" w:eastAsia="zh-CN"/>
        </w:rPr>
        <w:t>根据《内蒙古自治区困难群众救助补助资金管理办法》和《内蒙古自治区财政厅 民政厅关于提前下达2024年自治区财政困难群众救助补助资金预算的通知》 （内财社【2023】1545号）文件立项。</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3.实施主体：锡林郭勒盟社会福利院</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4.实施方案：24名特困人员每人每月补助基本生活费1600元，全失能人员护理费1386元，半失能人员护理费594元，到补助资金用完为止。</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5.实施周期：2025年1月1日至2025年12月31日。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6.年度预算安排：2025年该项目预算11万元。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（六）项目名称：</w:t>
      </w:r>
      <w:r>
        <w:rPr>
          <w:rFonts w:hint="default" w:ascii="宋体" w:hAnsi="宋体" w:eastAsia="宋体" w:cs="宋体"/>
          <w:sz w:val="32"/>
          <w:szCs w:val="32"/>
          <w:highlight w:val="none"/>
          <w:lang w:val="en-US" w:eastAsia="zh-CN"/>
        </w:rPr>
        <w:t>福利园区运行（2025年）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1.项目概述：</w:t>
      </w:r>
      <w:r>
        <w:rPr>
          <w:rFonts w:hint="default" w:ascii="宋体" w:hAnsi="宋体" w:eastAsia="宋体" w:cs="宋体"/>
          <w:sz w:val="32"/>
          <w:szCs w:val="32"/>
          <w:highlight w:val="none"/>
          <w:lang w:val="en-US" w:eastAsia="zh-CN"/>
        </w:rPr>
        <w:t>主要用于园区绿化亮化费用，日常基础设施的维修维护费用等</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2.立项依据：</w:t>
      </w:r>
      <w:r>
        <w:rPr>
          <w:rFonts w:hint="default" w:ascii="宋体" w:hAnsi="宋体" w:eastAsia="宋体" w:cs="宋体"/>
          <w:sz w:val="32"/>
          <w:szCs w:val="32"/>
          <w:highlight w:val="none"/>
          <w:lang w:val="en-US" w:eastAsia="zh-CN"/>
        </w:rPr>
        <w:t>根据锡林郭勒盟民政局锡民政发【2009】104号（关于申请解决民政福利中心经费的请示）的文件和锡盟社会福利院对民政福利园区的说明申请立项。</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3.实施主体：锡林郭勒盟社会福利院</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4.实施方案：</w:t>
      </w:r>
      <w:r>
        <w:rPr>
          <w:rFonts w:hint="default" w:ascii="宋体" w:hAnsi="宋体" w:eastAsia="宋体" w:cs="宋体"/>
          <w:sz w:val="32"/>
          <w:szCs w:val="32"/>
          <w:highlight w:val="none"/>
          <w:lang w:val="en-US" w:eastAsia="zh-CN"/>
        </w:rPr>
        <w:t>用于民政福利园区近500平米的绿化亮化工程费用支出，包括日常基础设施的维修费用，以及楼道内各种灯光，标志牌的改造亮化费用，以此来保障福利院区能够安全运行，提升入住老人的安全感。</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5.实施周期：2025年1月1日至2025年12月31日。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6.年度预算安排：2025年该项目预算20万元。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（七）项目名称：</w:t>
      </w:r>
      <w:r>
        <w:rPr>
          <w:rFonts w:hint="default" w:ascii="宋体" w:hAnsi="宋体" w:eastAsia="宋体" w:cs="宋体"/>
          <w:sz w:val="32"/>
          <w:szCs w:val="32"/>
          <w:highlight w:val="none"/>
          <w:lang w:val="en-US" w:eastAsia="zh-CN"/>
        </w:rPr>
        <w:t>锡盟社会福利院养老服务质量提升(内财综【2022】1646号)</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1.项目概述：</w:t>
      </w:r>
      <w:r>
        <w:rPr>
          <w:rFonts w:hint="default" w:ascii="宋体" w:hAnsi="宋体" w:eastAsia="宋体" w:cs="宋体"/>
          <w:sz w:val="32"/>
          <w:szCs w:val="32"/>
          <w:highlight w:val="none"/>
          <w:lang w:val="en-US" w:eastAsia="zh-CN"/>
        </w:rPr>
        <w:t>锡盟社会福利院基础设施设备（热水器、餐座椅、床、门等）已使用13年之久</w:t>
      </w:r>
      <w:r>
        <w:rPr>
          <w:rFonts w:hint="eastAsia" w:ascii="宋体" w:hAnsi="宋体" w:eastAsia="宋体" w:cs="宋体"/>
          <w:sz w:val="32"/>
          <w:szCs w:val="32"/>
          <w:highlight w:val="none"/>
          <w:lang w:val="en-US" w:eastAsia="zh-CN"/>
        </w:rPr>
        <w:t>。</w:t>
      </w:r>
      <w:r>
        <w:rPr>
          <w:rFonts w:hint="default" w:ascii="宋体" w:hAnsi="宋体" w:eastAsia="宋体" w:cs="宋体"/>
          <w:sz w:val="32"/>
          <w:szCs w:val="32"/>
          <w:highlight w:val="none"/>
          <w:lang w:val="en-US" w:eastAsia="zh-CN"/>
        </w:rPr>
        <w:t>为确保院内老人安全、生活质量，按照2022年提升养老服务质量要求，需250万元彩票公益金用来更新老人房间的基础设施设备。</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2.立项依据：</w:t>
      </w:r>
      <w:r>
        <w:rPr>
          <w:rFonts w:hint="default" w:ascii="宋体" w:hAnsi="宋体" w:eastAsia="宋体" w:cs="宋体"/>
          <w:sz w:val="32"/>
          <w:szCs w:val="32"/>
          <w:highlight w:val="none"/>
          <w:lang w:val="en-US" w:eastAsia="zh-CN"/>
        </w:rPr>
        <w:t>锡盟社会福利院于2009年搬迁于现址，基础设施设备（热水器、餐座椅、床、门等）已使用13年之久，从未进行更换，已陈旧老化，存在严重的安全隐患。</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3.实施主体：锡林郭勒盟社会福利院</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4.实施方案：42.6万元用于</w:t>
      </w:r>
      <w:r>
        <w:rPr>
          <w:rFonts w:hint="default" w:ascii="宋体" w:hAnsi="宋体" w:eastAsia="宋体" w:cs="宋体"/>
          <w:sz w:val="32"/>
          <w:szCs w:val="32"/>
          <w:highlight w:val="none"/>
          <w:lang w:val="en-US" w:eastAsia="zh-CN"/>
        </w:rPr>
        <w:t>提升养老服务质量，更新老人房间的基础设施设备。</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5.实施周期：2025年1月1日至2025年12月31日。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6.年度预算安排：2025年该项目预算42.6万元。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（八）项目名称：</w:t>
      </w:r>
      <w:r>
        <w:rPr>
          <w:rFonts w:hint="default" w:ascii="宋体" w:hAnsi="宋体" w:eastAsia="宋体" w:cs="宋体"/>
          <w:sz w:val="32"/>
          <w:szCs w:val="32"/>
          <w:highlight w:val="none"/>
          <w:lang w:val="en-US" w:eastAsia="zh-CN"/>
        </w:rPr>
        <w:t>养老机构政策性保险补贴和养老护理员特殊岗位津贴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1.项目概述：</w:t>
      </w:r>
      <w:r>
        <w:rPr>
          <w:rFonts w:hint="default" w:ascii="宋体" w:hAnsi="宋体" w:eastAsia="宋体" w:cs="宋体"/>
          <w:sz w:val="32"/>
          <w:szCs w:val="32"/>
          <w:highlight w:val="none"/>
          <w:lang w:val="en-US" w:eastAsia="zh-CN"/>
        </w:rPr>
        <w:t>用于支付养老机构购买责任保险和发放养老护理员特岗津贴。按照《锡林郭勒盟关于推进基本养老服务体系建设若干措施的通知》（锡署办发【2022】190号）和《锡林郭勒盟行政公署关于加快发展养老服务业的意见》（锡署发【2014】133号）要求</w:t>
      </w:r>
      <w:r>
        <w:rPr>
          <w:rFonts w:hint="eastAsia" w:ascii="宋体" w:hAnsi="宋体" w:eastAsia="宋体" w:cs="宋体"/>
          <w:sz w:val="32"/>
          <w:szCs w:val="32"/>
          <w:highlight w:val="none"/>
          <w:lang w:val="en-US" w:eastAsia="zh-CN"/>
        </w:rPr>
        <w:t>立项</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2.立项依据：</w:t>
      </w:r>
      <w:r>
        <w:rPr>
          <w:rFonts w:hint="default" w:ascii="宋体" w:hAnsi="宋体" w:eastAsia="宋体" w:cs="宋体"/>
          <w:sz w:val="32"/>
          <w:szCs w:val="32"/>
          <w:highlight w:val="none"/>
          <w:lang w:val="en-US" w:eastAsia="zh-CN"/>
        </w:rPr>
        <w:t>根据主管局2025年预算设立。《锡林郭勒盟行政公署关于加快发展养老服务业的意见》(锡署发〔2014〕133号)对各类养老机构中己取得初级、中级、高级职业资格证书、且从事护理工作两年以上的养老护理员，每人每月分别给予300元、500元和900元的特殊岗位津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3.实施主体：锡林郭勒盟社会福利院</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4.实施方案：</w:t>
      </w:r>
      <w:r>
        <w:rPr>
          <w:rFonts w:hint="default" w:ascii="宋体" w:hAnsi="宋体" w:eastAsia="宋体" w:cs="宋体"/>
          <w:sz w:val="32"/>
          <w:szCs w:val="32"/>
          <w:highlight w:val="none"/>
          <w:lang w:val="en-US" w:eastAsia="zh-CN"/>
        </w:rPr>
        <w:t>责任保险其中盟社会福利院0.74万元（148人）;护理员特岗津贴：初级：每人每月300元，中级：每人每月500元，高级：每人每月900元。其中盟社会福利院初级3人、中级7人、高级14人，20.4万元。补贴福利院两项共计21.14万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5.实施周期：2024年1月1日至2025年12月31日。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6.年度预算安排：2025年该项目预算21.14万元。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（九）项目名称：</w:t>
      </w:r>
      <w:r>
        <w:rPr>
          <w:rFonts w:hint="default" w:ascii="宋体" w:hAnsi="宋体" w:eastAsia="宋体" w:cs="宋体"/>
          <w:sz w:val="32"/>
          <w:szCs w:val="32"/>
          <w:highlight w:val="none"/>
          <w:lang w:val="en-US" w:eastAsia="zh-CN"/>
        </w:rPr>
        <w:t>城市特困人员供养项目</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1.项目概述：</w:t>
      </w:r>
      <w:r>
        <w:rPr>
          <w:rFonts w:hint="default" w:ascii="宋体" w:hAnsi="宋体" w:eastAsia="宋体" w:cs="宋体"/>
          <w:sz w:val="32"/>
          <w:szCs w:val="32"/>
          <w:highlight w:val="none"/>
          <w:lang w:val="en-US" w:eastAsia="zh-CN"/>
        </w:rPr>
        <w:t>保障入住福利院的24名特困人员日常生活的全部支出。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2.立项依据：</w:t>
      </w:r>
      <w:r>
        <w:rPr>
          <w:rFonts w:hint="default" w:ascii="宋体" w:hAnsi="宋体" w:eastAsia="宋体" w:cs="宋体"/>
          <w:sz w:val="32"/>
          <w:szCs w:val="32"/>
          <w:highlight w:val="none"/>
          <w:lang w:val="en-US" w:eastAsia="zh-CN"/>
        </w:rPr>
        <w:t>根据《内蒙古自治区困难群众救助补助资金管理办法》文件精神，2025年向锡盟社会福利院下达困难群众救助补助66万元，包括中央级特困资金47万元，自治区级19万元。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3.实施主体：锡林郭勒盟社会福利院</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4.实施方案：24名特困人员每人每月补助基本生活费1600元，全失能人员护理费1386元，半失能人员护理费594元，到补助资金用完为止。</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5.实施周期：2025年1月1日至2025年12月31日。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6.年度预算安排：2025年该项目预算66万元。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（十）项目名称：</w:t>
      </w:r>
      <w:r>
        <w:rPr>
          <w:rFonts w:hint="default" w:ascii="宋体" w:hAnsi="宋体" w:eastAsia="宋体" w:cs="宋体"/>
          <w:sz w:val="32"/>
          <w:szCs w:val="32"/>
          <w:highlight w:val="none"/>
          <w:lang w:val="en-US" w:eastAsia="zh-CN"/>
        </w:rPr>
        <w:t>养老机构政策性保险补贴和养老护理员特殊岗位津贴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color w:val="auto"/>
          <w:sz w:val="32"/>
          <w:szCs w:val="32"/>
          <w:highlight w:val="none"/>
          <w:lang w:val="en-US" w:eastAsia="zh-CN"/>
        </w:rPr>
      </w:pPr>
      <w:r>
        <w:rPr>
          <w:rFonts w:hint="eastAsia" w:ascii="宋体" w:hAnsi="宋体" w:eastAsia="宋体" w:cs="宋体"/>
          <w:sz w:val="32"/>
          <w:szCs w:val="32"/>
          <w:highlight w:val="none"/>
          <w:lang w:val="en-US" w:eastAsia="zh-CN"/>
        </w:rPr>
        <w:t>1.项目概述：</w:t>
      </w:r>
      <w:r>
        <w:rPr>
          <w:rFonts w:hint="eastAsia" w:ascii="宋体" w:hAnsi="宋体" w:eastAsia="宋体" w:cs="宋体"/>
          <w:i w:val="0"/>
          <w:caps w:val="0"/>
          <w:color w:val="auto"/>
          <w:spacing w:val="0"/>
          <w:sz w:val="32"/>
          <w:szCs w:val="32"/>
          <w:shd w:val="clear" w:fill="F7FAFD"/>
        </w:rPr>
        <w:t>用于支付养老机构购买责任保险和发放养老护理员特岗津贴。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2.立项依据：</w:t>
      </w:r>
      <w:r>
        <w:rPr>
          <w:rFonts w:hint="default" w:ascii="宋体" w:hAnsi="宋体" w:eastAsia="宋体" w:cs="宋体"/>
          <w:sz w:val="32"/>
          <w:szCs w:val="32"/>
          <w:highlight w:val="none"/>
          <w:lang w:val="en-US" w:eastAsia="zh-CN"/>
        </w:rPr>
        <w:t>用于支付养老机构购买责任保险和发放养老护理员特岗津贴。按照《锡林郭勒盟关于推进基本养老服务体系建设若干措施的通知》（锡署办发【2022】190号）和《锡林郭勒盟行政公署关于加快发展养老服务业的意见》（锡署发【2014】133号）要求</w:t>
      </w:r>
      <w:r>
        <w:rPr>
          <w:rFonts w:hint="eastAsia" w:ascii="宋体" w:hAnsi="宋体" w:eastAsia="宋体" w:cs="宋体"/>
          <w:sz w:val="32"/>
          <w:szCs w:val="32"/>
          <w:highlight w:val="none"/>
          <w:lang w:val="en-US" w:eastAsia="zh-CN"/>
        </w:rPr>
        <w:t>立项。</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3.实施主体：锡林郭勒盟社会福利院</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4.实施方案：6.19万元用于对养老护理员特殊岗位津贴补贴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5.实施周期：2025年1月1日至2025年12月31日。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6.年度预算安排：2025年该项目预算6.19万元。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（十一）项目名称：</w:t>
      </w:r>
      <w:r>
        <w:rPr>
          <w:rFonts w:hint="default" w:ascii="宋体" w:hAnsi="宋体" w:eastAsia="宋体" w:cs="宋体"/>
          <w:sz w:val="32"/>
          <w:szCs w:val="32"/>
          <w:highlight w:val="none"/>
          <w:lang w:val="en-US" w:eastAsia="zh-CN"/>
        </w:rPr>
        <w:t>公办养老机构消防改造资金 （内财综【2023】1683号）</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1.项目概述：</w:t>
      </w:r>
      <w:r>
        <w:rPr>
          <w:rFonts w:hint="default" w:ascii="宋体" w:hAnsi="宋体" w:eastAsia="宋体" w:cs="宋体"/>
          <w:sz w:val="32"/>
          <w:szCs w:val="32"/>
          <w:highlight w:val="none"/>
          <w:lang w:val="en-US" w:eastAsia="zh-CN"/>
        </w:rPr>
        <w:t>用于盟社会福利院消防改造资金支出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2.立项依据：</w:t>
      </w:r>
      <w:r>
        <w:rPr>
          <w:rFonts w:hint="default" w:ascii="宋体" w:hAnsi="宋体" w:eastAsia="宋体" w:cs="宋体"/>
          <w:sz w:val="32"/>
          <w:szCs w:val="32"/>
          <w:highlight w:val="none"/>
          <w:lang w:val="en-US" w:eastAsia="zh-CN"/>
        </w:rPr>
        <w:t>该项目共计61万元，</w:t>
      </w:r>
      <w:r>
        <w:rPr>
          <w:rFonts w:hint="eastAsia" w:ascii="宋体" w:hAnsi="宋体" w:eastAsia="宋体" w:cs="宋体"/>
          <w:sz w:val="32"/>
          <w:szCs w:val="32"/>
          <w:highlight w:val="none"/>
          <w:lang w:val="en-US" w:eastAsia="zh-CN"/>
        </w:rPr>
        <w:t>上年</w:t>
      </w:r>
      <w:r>
        <w:rPr>
          <w:rFonts w:hint="default" w:ascii="宋体" w:hAnsi="宋体" w:eastAsia="宋体" w:cs="宋体"/>
          <w:sz w:val="32"/>
          <w:szCs w:val="32"/>
          <w:highlight w:val="none"/>
          <w:lang w:val="en-US" w:eastAsia="zh-CN"/>
        </w:rPr>
        <w:t>拨付25万元，主要用于消防维保和消防维修工程</w:t>
      </w:r>
      <w:r>
        <w:rPr>
          <w:rFonts w:hint="eastAsia" w:ascii="宋体" w:hAnsi="宋体" w:eastAsia="宋体" w:cs="宋体"/>
          <w:sz w:val="32"/>
          <w:szCs w:val="32"/>
          <w:highlight w:val="none"/>
          <w:lang w:val="en-US" w:eastAsia="zh-CN"/>
        </w:rPr>
        <w:t>，剩余1.8万元结转本年</w:t>
      </w:r>
      <w:r>
        <w:rPr>
          <w:rFonts w:hint="default" w:ascii="宋体" w:hAnsi="宋体" w:eastAsia="宋体" w:cs="宋体"/>
          <w:sz w:val="32"/>
          <w:szCs w:val="32"/>
          <w:highlight w:val="none"/>
          <w:lang w:val="en-US" w:eastAsia="zh-CN"/>
        </w:rPr>
        <w:t>。</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3.实施主体：锡林郭勒盟社会福利院</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4.实施方案：剩余1.8万元用于本年消防改造支出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5.实施周期：2025年1月1日至2025年12月31日。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105" w:leftChars="50" w:right="105" w:rightChars="50" w:firstLine="640" w:firstLineChars="200"/>
        <w:jc w:val="left"/>
        <w:textAlignment w:val="center"/>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6.年度预算安排：2025年该项目预算1.8万元。</w:t>
      </w:r>
    </w:p>
    <w:p>
      <w:pPr>
        <w:keepNext w:val="0"/>
        <w:keepLines w:val="0"/>
        <w:pageBreakBefore w:val="0"/>
        <w:pBdr>
          <w:bottom w:val="single" w:color="FFFFFF" w:sz="4" w:space="30"/>
        </w:pBdr>
        <w:kinsoku/>
        <w:wordWrap/>
        <w:overflowPunct/>
        <w:topLinePunct w:val="0"/>
        <w:autoSpaceDE/>
        <w:autoSpaceDN/>
        <w:bidi w:val="0"/>
        <w:adjustRightInd/>
        <w:snapToGrid w:val="0"/>
        <w:spacing w:line="360" w:lineRule="auto"/>
        <w:ind w:firstLine="643" w:firstLineChars="200"/>
        <w:rPr>
          <w:rFonts w:hint="eastAsia" w:ascii="宋体" w:hAnsi="宋体" w:eastAsia="宋体" w:cs="宋体"/>
          <w:b/>
          <w:bCs w:val="0"/>
          <w:sz w:val="32"/>
          <w:szCs w:val="36"/>
        </w:rPr>
      </w:pPr>
      <w:r>
        <w:rPr>
          <w:rFonts w:hint="eastAsia" w:ascii="宋体" w:hAnsi="宋体" w:eastAsia="宋体" w:cs="宋体"/>
          <w:b/>
          <w:bCs w:val="0"/>
          <w:i w:val="0"/>
          <w:iCs w:val="0"/>
          <w:color w:val="000000" w:themeColor="text1"/>
          <w:sz w:val="32"/>
          <w:szCs w:val="32"/>
          <w:highlight w:val="none"/>
          <w:lang w:val="en-US" w:eastAsia="zh-CN"/>
          <w14:textFill>
            <w14:solidFill>
              <w14:schemeClr w14:val="tx1"/>
            </w14:solidFill>
          </w14:textFill>
        </w:rPr>
        <w:t>十一、</w:t>
      </w:r>
      <w:r>
        <w:rPr>
          <w:rFonts w:hint="eastAsia" w:ascii="宋体" w:hAnsi="宋体" w:eastAsia="宋体" w:cs="宋体"/>
          <w:b/>
          <w:bCs w:val="0"/>
          <w:sz w:val="32"/>
          <w:szCs w:val="36"/>
        </w:rPr>
        <w:t>一般公共预算机关运行经费支出预算情况说明</w:t>
      </w:r>
    </w:p>
    <w:p>
      <w:pPr>
        <w:pageBreakBefore w:val="0"/>
        <w:numPr>
          <w:ilvl w:val="0"/>
          <w:numId w:val="0"/>
        </w:numPr>
        <w:pBdr>
          <w:bottom w:val="single" w:color="FFFFFF" w:sz="4" w:space="30"/>
        </w:pBdr>
        <w:kinsoku/>
        <w:wordWrap/>
        <w:overflowPunct/>
        <w:topLinePunct w:val="0"/>
        <w:bidi w:val="0"/>
        <w:snapToGrid w:val="0"/>
        <w:spacing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202</w:t>
      </w:r>
      <w:r>
        <w:rPr>
          <w:rFonts w:hint="eastAsia" w:ascii="宋体" w:hAnsi="宋体" w:eastAsia="宋体" w:cs="宋体"/>
          <w:sz w:val="32"/>
          <w:szCs w:val="32"/>
          <w:highlight w:val="none"/>
          <w:lang w:val="en-US" w:eastAsia="zh-CN"/>
        </w:rPr>
        <w:t>5</w:t>
      </w:r>
      <w:r>
        <w:rPr>
          <w:rFonts w:hint="eastAsia" w:ascii="宋体" w:hAnsi="宋体" w:eastAsia="宋体" w:cs="宋体"/>
          <w:sz w:val="32"/>
          <w:szCs w:val="32"/>
          <w:highlight w:val="none"/>
        </w:rPr>
        <w:t>年锡林郭勒盟社会福利院一般公共预算机关运行经费预算支出</w:t>
      </w:r>
      <w:r>
        <w:rPr>
          <w:rFonts w:hint="eastAsia" w:ascii="宋体" w:hAnsi="宋体" w:eastAsia="宋体" w:cs="宋体"/>
          <w:sz w:val="32"/>
          <w:szCs w:val="32"/>
          <w:highlight w:val="none"/>
          <w:u w:val="none"/>
        </w:rPr>
        <w:t>0</w:t>
      </w:r>
      <w:r>
        <w:rPr>
          <w:rFonts w:hint="eastAsia" w:ascii="宋体" w:hAnsi="宋体" w:eastAsia="宋体" w:cs="宋体"/>
          <w:sz w:val="32"/>
          <w:szCs w:val="32"/>
          <w:highlight w:val="none"/>
        </w:rPr>
        <w:t>万元，与上年相比增加</w:t>
      </w:r>
      <w:r>
        <w:rPr>
          <w:rFonts w:hint="eastAsia" w:ascii="宋体" w:hAnsi="宋体" w:eastAsia="宋体" w:cs="宋体"/>
          <w:sz w:val="32"/>
          <w:szCs w:val="32"/>
          <w:highlight w:val="none"/>
          <w:u w:val="none"/>
          <w:lang w:val="en-US" w:eastAsia="zh-CN"/>
        </w:rPr>
        <w:t>0</w:t>
      </w:r>
      <w:r>
        <w:rPr>
          <w:rFonts w:hint="eastAsia" w:ascii="宋体" w:hAnsi="宋体" w:eastAsia="宋体" w:cs="宋体"/>
          <w:sz w:val="32"/>
          <w:szCs w:val="32"/>
          <w:highlight w:val="none"/>
        </w:rPr>
        <w:t>万元，增长</w:t>
      </w:r>
      <w:r>
        <w:rPr>
          <w:rFonts w:hint="eastAsia" w:ascii="宋体" w:hAnsi="宋体" w:eastAsia="宋体" w:cs="宋体"/>
          <w:sz w:val="32"/>
          <w:szCs w:val="32"/>
          <w:highlight w:val="none"/>
          <w:u w:val="none"/>
        </w:rPr>
        <w:t>0%</w:t>
      </w:r>
      <w:r>
        <w:rPr>
          <w:rFonts w:hint="eastAsia" w:ascii="宋体" w:hAnsi="宋体" w:eastAsia="宋体" w:cs="宋体"/>
          <w:sz w:val="32"/>
          <w:szCs w:val="32"/>
          <w:highlight w:val="none"/>
        </w:rPr>
        <w:t>。主要原因是：我单位为事业单位，无机关运行经费安排。</w:t>
      </w:r>
    </w:p>
    <w:p>
      <w:pPr>
        <w:pageBreakBefore w:val="0"/>
        <w:numPr>
          <w:ilvl w:val="0"/>
          <w:numId w:val="0"/>
        </w:numPr>
        <w:pBdr>
          <w:bottom w:val="single" w:color="FFFFFF" w:sz="4" w:space="30"/>
        </w:pBdr>
        <w:kinsoku/>
        <w:wordWrap/>
        <w:overflowPunct/>
        <w:topLinePunct w:val="0"/>
        <w:bidi w:val="0"/>
        <w:snapToGrid w:val="0"/>
        <w:spacing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本年</w:t>
      </w:r>
      <w:r>
        <w:rPr>
          <w:rFonts w:hint="eastAsia" w:ascii="宋体" w:hAnsi="宋体" w:eastAsia="宋体" w:cs="宋体"/>
          <w:sz w:val="32"/>
          <w:szCs w:val="32"/>
          <w:highlight w:val="none"/>
          <w:lang w:val="en-US" w:eastAsia="zh-CN"/>
        </w:rPr>
        <w:t>我单位</w:t>
      </w:r>
      <w:r>
        <w:rPr>
          <w:rFonts w:hint="eastAsia" w:ascii="宋体" w:hAnsi="宋体" w:eastAsia="宋体" w:cs="宋体"/>
          <w:sz w:val="32"/>
          <w:szCs w:val="32"/>
          <w:highlight w:val="none"/>
        </w:rPr>
        <w:t>一般公共预算公用经费支出</w:t>
      </w:r>
      <w:r>
        <w:rPr>
          <w:rFonts w:hint="eastAsia" w:ascii="宋体" w:hAnsi="宋体" w:eastAsia="宋体" w:cs="宋体"/>
          <w:sz w:val="32"/>
          <w:szCs w:val="32"/>
          <w:highlight w:val="none"/>
          <w:lang w:val="en-US" w:eastAsia="zh-CN"/>
        </w:rPr>
        <w:t>125.99</w:t>
      </w:r>
      <w:r>
        <w:rPr>
          <w:rFonts w:hint="eastAsia" w:ascii="宋体" w:hAnsi="宋体" w:eastAsia="宋体" w:cs="宋体"/>
          <w:sz w:val="32"/>
          <w:szCs w:val="32"/>
          <w:highlight w:val="none"/>
        </w:rPr>
        <w:t>万元，主要包括：办公费</w:t>
      </w:r>
      <w:r>
        <w:rPr>
          <w:rFonts w:hint="eastAsia" w:ascii="宋体" w:hAnsi="宋体" w:eastAsia="宋体" w:cs="宋体"/>
          <w:sz w:val="32"/>
          <w:szCs w:val="32"/>
          <w:highlight w:val="none"/>
          <w:lang w:val="en-US" w:eastAsia="zh-CN"/>
        </w:rPr>
        <w:t>2.02</w:t>
      </w:r>
      <w:r>
        <w:rPr>
          <w:rFonts w:hint="eastAsia" w:ascii="宋体" w:hAnsi="宋体" w:eastAsia="宋体" w:cs="宋体"/>
          <w:sz w:val="32"/>
          <w:szCs w:val="32"/>
          <w:highlight w:val="none"/>
        </w:rPr>
        <w:t>万元、</w:t>
      </w:r>
      <w:r>
        <w:rPr>
          <w:rFonts w:hint="eastAsia" w:ascii="宋体" w:hAnsi="宋体" w:eastAsia="宋体" w:cs="宋体"/>
          <w:sz w:val="32"/>
          <w:szCs w:val="32"/>
          <w:highlight w:val="none"/>
          <w:lang w:val="en-US" w:eastAsia="zh-CN"/>
        </w:rPr>
        <w:t>印刷费0.5万元、水费3万元、电费12万元、邮电费1万元、取暖费38.5万元、</w:t>
      </w:r>
      <w:r>
        <w:rPr>
          <w:rFonts w:hint="eastAsia" w:ascii="宋体" w:hAnsi="宋体" w:eastAsia="宋体" w:cs="宋体"/>
          <w:sz w:val="32"/>
          <w:szCs w:val="32"/>
          <w:highlight w:val="none"/>
        </w:rPr>
        <w:t>物业管理费</w:t>
      </w:r>
      <w:r>
        <w:rPr>
          <w:rFonts w:hint="eastAsia" w:ascii="宋体" w:hAnsi="宋体" w:eastAsia="宋体" w:cs="宋体"/>
          <w:sz w:val="32"/>
          <w:szCs w:val="32"/>
          <w:highlight w:val="none"/>
          <w:lang w:val="en-US" w:eastAsia="zh-CN"/>
        </w:rPr>
        <w:t>61</w:t>
      </w:r>
      <w:r>
        <w:rPr>
          <w:rFonts w:hint="eastAsia" w:ascii="宋体" w:hAnsi="宋体" w:eastAsia="宋体" w:cs="宋体"/>
          <w:sz w:val="32"/>
          <w:szCs w:val="32"/>
          <w:highlight w:val="none"/>
        </w:rPr>
        <w:t>万元、工会经费</w:t>
      </w:r>
      <w:r>
        <w:rPr>
          <w:rFonts w:hint="eastAsia" w:ascii="宋体" w:hAnsi="宋体" w:eastAsia="宋体" w:cs="宋体"/>
          <w:sz w:val="32"/>
          <w:szCs w:val="32"/>
          <w:highlight w:val="none"/>
          <w:lang w:val="en-US" w:eastAsia="zh-CN"/>
        </w:rPr>
        <w:t>3.28</w:t>
      </w:r>
      <w:r>
        <w:rPr>
          <w:rFonts w:hint="eastAsia" w:ascii="宋体" w:hAnsi="宋体" w:eastAsia="宋体" w:cs="宋体"/>
          <w:sz w:val="32"/>
          <w:szCs w:val="32"/>
          <w:highlight w:val="none"/>
        </w:rPr>
        <w:t>万元、福利费</w:t>
      </w:r>
      <w:r>
        <w:rPr>
          <w:rFonts w:hint="eastAsia" w:ascii="宋体" w:hAnsi="宋体" w:eastAsia="宋体" w:cs="宋体"/>
          <w:sz w:val="32"/>
          <w:szCs w:val="32"/>
          <w:highlight w:val="none"/>
          <w:lang w:val="en-US" w:eastAsia="zh-CN"/>
        </w:rPr>
        <w:t>3.9</w:t>
      </w:r>
      <w:r>
        <w:rPr>
          <w:rFonts w:hint="eastAsia" w:ascii="宋体" w:hAnsi="宋体" w:eastAsia="宋体" w:cs="宋体"/>
          <w:sz w:val="32"/>
          <w:szCs w:val="32"/>
          <w:highlight w:val="none"/>
        </w:rPr>
        <w:t>万元、公务用车运行维护费0.8万元等。</w:t>
      </w:r>
    </w:p>
    <w:p>
      <w:pPr>
        <w:pageBreakBefore w:val="0"/>
        <w:numPr>
          <w:ilvl w:val="0"/>
          <w:numId w:val="0"/>
        </w:numPr>
        <w:pBdr>
          <w:bottom w:val="single" w:color="FFFFFF" w:sz="4" w:space="30"/>
        </w:pBdr>
        <w:kinsoku/>
        <w:wordWrap/>
        <w:overflowPunct/>
        <w:topLinePunct w:val="0"/>
        <w:bidi w:val="0"/>
        <w:snapToGrid w:val="0"/>
        <w:spacing w:line="360" w:lineRule="auto"/>
        <w:ind w:firstLine="643" w:firstLineChars="200"/>
        <w:rPr>
          <w:rFonts w:hint="eastAsia" w:ascii="宋体" w:hAnsi="宋体" w:eastAsia="宋体" w:cs="宋体"/>
          <w:b/>
          <w:bCs/>
          <w:sz w:val="32"/>
          <w:szCs w:val="32"/>
          <w:highlight w:val="yellow"/>
        </w:rPr>
      </w:pPr>
      <w:r>
        <w:rPr>
          <w:rFonts w:hint="eastAsia" w:ascii="宋体" w:hAnsi="宋体" w:eastAsia="宋体" w:cs="宋体"/>
          <w:b/>
          <w:bCs/>
          <w:sz w:val="32"/>
          <w:szCs w:val="36"/>
          <w:lang w:val="en-US" w:eastAsia="zh-CN"/>
        </w:rPr>
        <w:t>十二、</w:t>
      </w:r>
      <w:r>
        <w:rPr>
          <w:rFonts w:hint="eastAsia" w:ascii="宋体" w:hAnsi="宋体" w:eastAsia="宋体" w:cs="宋体"/>
          <w:b/>
          <w:bCs/>
          <w:sz w:val="32"/>
          <w:szCs w:val="36"/>
        </w:rPr>
        <w:t>政府采购支出预算情况说明</w:t>
      </w:r>
    </w:p>
    <w:p>
      <w:pPr>
        <w:pageBreakBefore w:val="0"/>
        <w:numPr>
          <w:ilvl w:val="0"/>
          <w:numId w:val="0"/>
        </w:numPr>
        <w:pBdr>
          <w:bottom w:val="single" w:color="FFFFFF" w:sz="4" w:space="30"/>
        </w:pBdr>
        <w:kinsoku/>
        <w:wordWrap/>
        <w:overflowPunct/>
        <w:topLinePunct w:val="0"/>
        <w:bidi w:val="0"/>
        <w:snapToGrid w:val="0"/>
        <w:spacing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202</w:t>
      </w:r>
      <w:r>
        <w:rPr>
          <w:rFonts w:hint="eastAsia" w:ascii="宋体" w:hAnsi="宋体" w:eastAsia="宋体" w:cs="宋体"/>
          <w:sz w:val="32"/>
          <w:szCs w:val="32"/>
          <w:highlight w:val="none"/>
          <w:lang w:val="en-US" w:eastAsia="zh-CN"/>
        </w:rPr>
        <w:t>5</w:t>
      </w:r>
      <w:r>
        <w:rPr>
          <w:rFonts w:hint="eastAsia" w:ascii="宋体" w:hAnsi="宋体" w:eastAsia="宋体" w:cs="宋体"/>
          <w:sz w:val="32"/>
          <w:szCs w:val="32"/>
          <w:highlight w:val="none"/>
        </w:rPr>
        <w:t>年度政府采购支出预算总额</w:t>
      </w:r>
      <w:r>
        <w:rPr>
          <w:rFonts w:hint="eastAsia" w:ascii="宋体" w:hAnsi="宋体" w:eastAsia="宋体" w:cs="宋体"/>
          <w:sz w:val="32"/>
          <w:szCs w:val="32"/>
          <w:highlight w:val="none"/>
          <w:lang w:val="en-US" w:eastAsia="zh-CN"/>
        </w:rPr>
        <w:t>96.76</w:t>
      </w:r>
      <w:r>
        <w:rPr>
          <w:rFonts w:hint="eastAsia" w:ascii="宋体" w:hAnsi="宋体" w:eastAsia="宋体" w:cs="宋体"/>
          <w:sz w:val="32"/>
          <w:szCs w:val="32"/>
          <w:highlight w:val="none"/>
        </w:rPr>
        <w:t>万元，其中：拟采购货物支出</w:t>
      </w:r>
      <w:r>
        <w:rPr>
          <w:rFonts w:hint="eastAsia" w:ascii="宋体" w:hAnsi="宋体" w:eastAsia="宋体" w:cs="宋体"/>
          <w:sz w:val="32"/>
          <w:szCs w:val="32"/>
          <w:highlight w:val="none"/>
          <w:lang w:val="en-US" w:eastAsia="zh-CN"/>
        </w:rPr>
        <w:t>0.96</w:t>
      </w:r>
      <w:r>
        <w:rPr>
          <w:rFonts w:hint="eastAsia" w:ascii="宋体" w:hAnsi="宋体" w:eastAsia="宋体" w:cs="宋体"/>
          <w:sz w:val="32"/>
          <w:szCs w:val="32"/>
          <w:highlight w:val="none"/>
        </w:rPr>
        <w:t>万元、拟采购工程支出</w:t>
      </w:r>
      <w:r>
        <w:rPr>
          <w:rFonts w:hint="eastAsia" w:ascii="宋体" w:hAnsi="宋体" w:eastAsia="宋体" w:cs="宋体"/>
          <w:sz w:val="32"/>
          <w:szCs w:val="32"/>
          <w:highlight w:val="none"/>
          <w:lang w:val="en-US" w:eastAsia="zh-CN"/>
        </w:rPr>
        <w:t>95</w:t>
      </w:r>
      <w:r>
        <w:rPr>
          <w:rFonts w:hint="eastAsia" w:ascii="宋体" w:hAnsi="宋体" w:eastAsia="宋体" w:cs="宋体"/>
          <w:sz w:val="32"/>
          <w:szCs w:val="32"/>
          <w:highlight w:val="none"/>
        </w:rPr>
        <w:t>万元、拟购买服务支出</w:t>
      </w:r>
      <w:r>
        <w:rPr>
          <w:rFonts w:hint="eastAsia" w:ascii="宋体" w:hAnsi="宋体" w:eastAsia="宋体" w:cs="宋体"/>
          <w:sz w:val="32"/>
          <w:szCs w:val="32"/>
          <w:highlight w:val="none"/>
          <w:lang w:val="en-US" w:eastAsia="zh-CN"/>
        </w:rPr>
        <w:t>0.8</w:t>
      </w:r>
      <w:r>
        <w:rPr>
          <w:rFonts w:hint="eastAsia" w:ascii="宋体" w:hAnsi="宋体" w:eastAsia="宋体" w:cs="宋体"/>
          <w:sz w:val="32"/>
          <w:szCs w:val="32"/>
          <w:highlight w:val="none"/>
        </w:rPr>
        <w:t>万元。编制政府采购预算明细</w:t>
      </w:r>
      <w:r>
        <w:rPr>
          <w:rFonts w:hint="eastAsia" w:ascii="宋体" w:hAnsi="宋体" w:eastAsia="宋体" w:cs="宋体"/>
          <w:sz w:val="32"/>
          <w:szCs w:val="32"/>
          <w:highlight w:val="none"/>
          <w:lang w:val="en-US" w:eastAsia="zh-CN"/>
        </w:rPr>
        <w:t>6</w:t>
      </w:r>
      <w:r>
        <w:rPr>
          <w:rFonts w:hint="eastAsia" w:ascii="宋体" w:hAnsi="宋体" w:eastAsia="宋体" w:cs="宋体"/>
          <w:sz w:val="32"/>
          <w:szCs w:val="32"/>
          <w:highlight w:val="none"/>
        </w:rPr>
        <w:t>项，采购金额来源为一般公共预算拨款</w:t>
      </w:r>
      <w:r>
        <w:rPr>
          <w:rFonts w:hint="eastAsia" w:ascii="宋体" w:hAnsi="宋体" w:eastAsia="宋体" w:cs="宋体"/>
          <w:sz w:val="32"/>
          <w:szCs w:val="32"/>
          <w:highlight w:val="none"/>
          <w:lang w:val="en-US" w:eastAsia="zh-CN"/>
        </w:rPr>
        <w:t>和政府性基金拨款</w:t>
      </w:r>
      <w:r>
        <w:rPr>
          <w:rFonts w:hint="eastAsia" w:ascii="宋体" w:hAnsi="宋体" w:eastAsia="宋体" w:cs="宋体"/>
          <w:sz w:val="32"/>
          <w:szCs w:val="32"/>
          <w:highlight w:val="none"/>
        </w:rPr>
        <w:t>。</w:t>
      </w:r>
    </w:p>
    <w:p>
      <w:pPr>
        <w:pageBreakBefore w:val="0"/>
        <w:numPr>
          <w:ilvl w:val="0"/>
          <w:numId w:val="0"/>
        </w:numPr>
        <w:pBdr>
          <w:bottom w:val="single" w:color="FFFFFF" w:sz="4" w:space="30"/>
        </w:pBdr>
        <w:kinsoku/>
        <w:wordWrap/>
        <w:overflowPunct/>
        <w:topLinePunct w:val="0"/>
        <w:bidi w:val="0"/>
        <w:snapToGrid w:val="0"/>
        <w:spacing w:line="360" w:lineRule="auto"/>
        <w:rPr>
          <w:rFonts w:hint="eastAsia" w:ascii="宋体" w:hAnsi="宋体" w:eastAsia="宋体" w:cs="宋体"/>
          <w:b/>
          <w:bCs/>
          <w:sz w:val="32"/>
          <w:szCs w:val="36"/>
        </w:rPr>
      </w:pPr>
      <w:r>
        <w:rPr>
          <w:rFonts w:hint="eastAsia" w:ascii="宋体" w:hAnsi="宋体" w:eastAsia="宋体" w:cs="宋体"/>
          <w:b/>
          <w:bCs/>
          <w:sz w:val="32"/>
          <w:szCs w:val="36"/>
          <w:lang w:eastAsia="zh-CN"/>
        </w:rPr>
        <w:t>十三、</w:t>
      </w:r>
      <w:r>
        <w:rPr>
          <w:rFonts w:hint="eastAsia" w:ascii="宋体" w:hAnsi="宋体" w:eastAsia="宋体" w:cs="宋体"/>
          <w:b/>
          <w:bCs/>
          <w:sz w:val="32"/>
          <w:szCs w:val="36"/>
        </w:rPr>
        <w:t>国有资产占用情况说明</w:t>
      </w:r>
    </w:p>
    <w:p>
      <w:pPr>
        <w:pageBreakBefore w:val="0"/>
        <w:numPr>
          <w:ilvl w:val="0"/>
          <w:numId w:val="0"/>
        </w:numPr>
        <w:pBdr>
          <w:bottom w:val="single" w:color="FFFFFF" w:sz="4" w:space="30"/>
        </w:pBdr>
        <w:kinsoku/>
        <w:wordWrap/>
        <w:overflowPunct/>
        <w:topLinePunct w:val="0"/>
        <w:bidi w:val="0"/>
        <w:snapToGrid w:val="0"/>
        <w:spacing w:line="360" w:lineRule="auto"/>
        <w:ind w:firstLine="640" w:firstLineChars="200"/>
        <w:rPr>
          <w:rFonts w:hint="eastAsia" w:ascii="宋体" w:hAnsi="宋体" w:eastAsia="宋体" w:cs="宋体"/>
          <w:sz w:val="32"/>
          <w:szCs w:val="32"/>
          <w:lang w:eastAsia="zh-CN"/>
        </w:rPr>
      </w:pPr>
      <w:r>
        <w:rPr>
          <w:rFonts w:hint="eastAsia" w:ascii="宋体" w:hAnsi="宋体" w:eastAsia="宋体" w:cs="宋体"/>
          <w:sz w:val="32"/>
          <w:szCs w:val="32"/>
        </w:rPr>
        <w:t>本单位共有车辆</w:t>
      </w:r>
      <w:r>
        <w:rPr>
          <w:rFonts w:hint="eastAsia" w:ascii="宋体" w:hAnsi="宋体" w:eastAsia="宋体" w:cs="宋体"/>
          <w:sz w:val="32"/>
          <w:szCs w:val="32"/>
          <w:u w:val="single"/>
        </w:rPr>
        <w:t>1</w:t>
      </w:r>
      <w:r>
        <w:rPr>
          <w:rFonts w:hint="eastAsia" w:ascii="宋体" w:hAnsi="宋体" w:eastAsia="宋体" w:cs="宋体"/>
          <w:sz w:val="32"/>
          <w:szCs w:val="32"/>
        </w:rPr>
        <w:t>辆，其中，一般公务用车</w:t>
      </w:r>
      <w:r>
        <w:rPr>
          <w:rFonts w:hint="eastAsia" w:ascii="宋体" w:hAnsi="宋体" w:eastAsia="宋体" w:cs="宋体"/>
          <w:sz w:val="32"/>
          <w:szCs w:val="32"/>
          <w:u w:val="single"/>
        </w:rPr>
        <w:t>0</w:t>
      </w:r>
      <w:r>
        <w:rPr>
          <w:rFonts w:hint="eastAsia" w:ascii="宋体" w:hAnsi="宋体" w:eastAsia="宋体" w:cs="宋体"/>
          <w:sz w:val="32"/>
          <w:szCs w:val="32"/>
        </w:rPr>
        <w:t>辆、执法执勤用车</w:t>
      </w:r>
      <w:r>
        <w:rPr>
          <w:rFonts w:hint="eastAsia" w:ascii="宋体" w:hAnsi="宋体" w:eastAsia="宋体" w:cs="宋体"/>
          <w:sz w:val="32"/>
          <w:szCs w:val="32"/>
          <w:u w:val="single"/>
        </w:rPr>
        <w:t>0</w:t>
      </w:r>
      <w:r>
        <w:rPr>
          <w:rFonts w:hint="eastAsia" w:ascii="宋体" w:hAnsi="宋体" w:eastAsia="宋体" w:cs="宋体"/>
          <w:sz w:val="32"/>
          <w:szCs w:val="32"/>
        </w:rPr>
        <w:t>辆、特种专业技术用车</w:t>
      </w:r>
      <w:r>
        <w:rPr>
          <w:rFonts w:hint="eastAsia" w:ascii="宋体" w:hAnsi="宋体" w:eastAsia="宋体" w:cs="宋体"/>
          <w:sz w:val="32"/>
          <w:szCs w:val="32"/>
          <w:u w:val="single"/>
        </w:rPr>
        <w:t>0</w:t>
      </w:r>
      <w:r>
        <w:rPr>
          <w:rFonts w:hint="eastAsia" w:ascii="宋体" w:hAnsi="宋体" w:eastAsia="宋体" w:cs="宋体"/>
          <w:sz w:val="32"/>
          <w:szCs w:val="32"/>
        </w:rPr>
        <w:t>辆、业务用车</w:t>
      </w:r>
      <w:r>
        <w:rPr>
          <w:rFonts w:hint="eastAsia" w:ascii="宋体" w:hAnsi="宋体" w:eastAsia="宋体" w:cs="宋体"/>
          <w:sz w:val="32"/>
          <w:szCs w:val="32"/>
          <w:u w:val="single"/>
        </w:rPr>
        <w:t>0</w:t>
      </w:r>
      <w:r>
        <w:rPr>
          <w:rFonts w:hint="eastAsia" w:ascii="宋体" w:hAnsi="宋体" w:eastAsia="宋体" w:cs="宋体"/>
          <w:sz w:val="32"/>
          <w:szCs w:val="32"/>
        </w:rPr>
        <w:t>辆、其他用车</w:t>
      </w:r>
      <w:r>
        <w:rPr>
          <w:rFonts w:hint="eastAsia" w:ascii="宋体" w:hAnsi="宋体" w:eastAsia="宋体" w:cs="宋体"/>
          <w:sz w:val="32"/>
          <w:szCs w:val="32"/>
          <w:u w:val="single"/>
        </w:rPr>
        <w:t>1</w:t>
      </w:r>
      <w:r>
        <w:rPr>
          <w:rFonts w:hint="eastAsia" w:ascii="宋体" w:hAnsi="宋体" w:eastAsia="宋体" w:cs="宋体"/>
          <w:sz w:val="32"/>
          <w:szCs w:val="32"/>
        </w:rPr>
        <w:t>辆等。单价</w:t>
      </w:r>
      <w:r>
        <w:rPr>
          <w:rFonts w:hint="eastAsia" w:ascii="宋体" w:hAnsi="宋体" w:eastAsia="宋体" w:cs="宋体"/>
          <w:sz w:val="32"/>
          <w:szCs w:val="32"/>
          <w:u w:val="single"/>
        </w:rPr>
        <w:t>50</w:t>
      </w:r>
      <w:r>
        <w:rPr>
          <w:rFonts w:hint="eastAsia" w:ascii="宋体" w:hAnsi="宋体" w:eastAsia="宋体" w:cs="宋体"/>
          <w:sz w:val="32"/>
          <w:szCs w:val="32"/>
        </w:rPr>
        <w:t>万元（含）以上的通用设备</w:t>
      </w:r>
      <w:r>
        <w:rPr>
          <w:rFonts w:hint="eastAsia" w:ascii="宋体" w:hAnsi="宋体" w:eastAsia="宋体" w:cs="宋体"/>
          <w:sz w:val="32"/>
          <w:szCs w:val="32"/>
          <w:u w:val="single"/>
        </w:rPr>
        <w:t>0</w:t>
      </w:r>
      <w:r>
        <w:rPr>
          <w:rFonts w:hint="eastAsia" w:ascii="宋体" w:hAnsi="宋体" w:eastAsia="宋体" w:cs="宋体"/>
          <w:sz w:val="32"/>
          <w:szCs w:val="32"/>
        </w:rPr>
        <w:t>台（套），单价</w:t>
      </w:r>
      <w:r>
        <w:rPr>
          <w:rFonts w:hint="eastAsia" w:ascii="宋体" w:hAnsi="宋体" w:eastAsia="宋体" w:cs="宋体"/>
          <w:sz w:val="32"/>
          <w:szCs w:val="32"/>
          <w:u w:val="single"/>
        </w:rPr>
        <w:t>100</w:t>
      </w:r>
      <w:r>
        <w:rPr>
          <w:rFonts w:hint="eastAsia" w:ascii="宋体" w:hAnsi="宋体" w:eastAsia="宋体" w:cs="宋体"/>
          <w:sz w:val="32"/>
          <w:szCs w:val="32"/>
        </w:rPr>
        <w:t>万元（含）以上的专用设备</w:t>
      </w:r>
      <w:r>
        <w:rPr>
          <w:rFonts w:hint="eastAsia" w:ascii="宋体" w:hAnsi="宋体" w:eastAsia="宋体" w:cs="宋体"/>
          <w:sz w:val="32"/>
          <w:szCs w:val="32"/>
          <w:u w:val="single"/>
        </w:rPr>
        <w:t>1</w:t>
      </w:r>
      <w:r>
        <w:rPr>
          <w:rFonts w:hint="eastAsia" w:ascii="宋体" w:hAnsi="宋体" w:eastAsia="宋体" w:cs="宋体"/>
          <w:sz w:val="32"/>
          <w:szCs w:val="32"/>
        </w:rPr>
        <w:t>台（套），为单位消防喷淋系统</w:t>
      </w:r>
      <w:r>
        <w:rPr>
          <w:rFonts w:hint="eastAsia" w:ascii="宋体" w:hAnsi="宋体" w:eastAsia="宋体" w:cs="宋体"/>
          <w:sz w:val="32"/>
          <w:szCs w:val="32"/>
          <w:lang w:eastAsia="zh-CN"/>
        </w:rPr>
        <w:t>。</w:t>
      </w:r>
    </w:p>
    <w:p>
      <w:pPr>
        <w:pageBreakBefore w:val="0"/>
        <w:numPr>
          <w:ilvl w:val="0"/>
          <w:numId w:val="0"/>
        </w:numPr>
        <w:pBdr>
          <w:bottom w:val="single" w:color="FFFFFF" w:sz="4" w:space="30"/>
        </w:pBdr>
        <w:kinsoku/>
        <w:wordWrap/>
        <w:overflowPunct/>
        <w:topLinePunct w:val="0"/>
        <w:bidi w:val="0"/>
        <w:snapToGrid w:val="0"/>
        <w:spacing w:line="360" w:lineRule="auto"/>
        <w:rPr>
          <w:rFonts w:hint="eastAsia" w:ascii="宋体" w:hAnsi="宋体" w:eastAsia="宋体" w:cs="宋体"/>
          <w:b/>
          <w:bCs/>
          <w:sz w:val="32"/>
          <w:szCs w:val="32"/>
          <w:lang w:eastAsia="zh-CN"/>
        </w:rPr>
      </w:pPr>
      <w:r>
        <w:rPr>
          <w:rFonts w:hint="eastAsia" w:ascii="宋体" w:hAnsi="宋体" w:eastAsia="宋体" w:cs="宋体"/>
          <w:b/>
          <w:bCs/>
          <w:sz w:val="32"/>
          <w:szCs w:val="36"/>
          <w:lang w:eastAsia="zh-CN"/>
        </w:rPr>
        <w:t>十四、</w:t>
      </w:r>
      <w:r>
        <w:rPr>
          <w:rFonts w:hint="eastAsia" w:ascii="宋体" w:hAnsi="宋体" w:eastAsia="宋体" w:cs="宋体"/>
          <w:b/>
          <w:bCs/>
          <w:sz w:val="32"/>
          <w:szCs w:val="36"/>
        </w:rPr>
        <w:t>项目绩效目标情况说明</w:t>
      </w:r>
    </w:p>
    <w:p>
      <w:pPr>
        <w:pageBreakBefore w:val="0"/>
        <w:numPr>
          <w:ilvl w:val="0"/>
          <w:numId w:val="0"/>
        </w:numPr>
        <w:pBdr>
          <w:bottom w:val="single" w:color="FFFFFF" w:sz="4" w:space="30"/>
        </w:pBdr>
        <w:kinsoku/>
        <w:wordWrap/>
        <w:overflowPunct/>
        <w:topLinePunct w:val="0"/>
        <w:bidi w:val="0"/>
        <w:snapToGrid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202</w:t>
      </w:r>
      <w:r>
        <w:rPr>
          <w:rFonts w:hint="eastAsia" w:ascii="宋体" w:hAnsi="宋体" w:eastAsia="宋体" w:cs="宋体"/>
          <w:sz w:val="32"/>
          <w:szCs w:val="32"/>
          <w:lang w:val="en-US" w:eastAsia="zh-CN"/>
        </w:rPr>
        <w:t>5</w:t>
      </w:r>
      <w:r>
        <w:rPr>
          <w:rFonts w:hint="eastAsia" w:ascii="宋体" w:hAnsi="宋体" w:eastAsia="宋体" w:cs="宋体"/>
          <w:sz w:val="32"/>
          <w:szCs w:val="32"/>
        </w:rPr>
        <w:t>年，填报绩效目标的预算项目</w:t>
      </w:r>
      <w:r>
        <w:rPr>
          <w:rFonts w:hint="eastAsia" w:ascii="宋体" w:hAnsi="宋体" w:eastAsia="宋体" w:cs="宋体"/>
          <w:sz w:val="32"/>
          <w:szCs w:val="32"/>
          <w:lang w:val="en-US" w:eastAsia="zh-CN"/>
        </w:rPr>
        <w:t>14</w:t>
      </w:r>
      <w:r>
        <w:rPr>
          <w:rFonts w:hint="eastAsia" w:ascii="宋体" w:hAnsi="宋体" w:eastAsia="宋体" w:cs="宋体"/>
          <w:sz w:val="32"/>
          <w:szCs w:val="32"/>
        </w:rPr>
        <w:t>个，公开绩效目标</w:t>
      </w:r>
      <w:r>
        <w:rPr>
          <w:rFonts w:hint="eastAsia" w:ascii="宋体" w:hAnsi="宋体" w:eastAsia="宋体" w:cs="宋体"/>
          <w:sz w:val="32"/>
          <w:szCs w:val="32"/>
          <w:lang w:val="en-US" w:eastAsia="zh-CN"/>
        </w:rPr>
        <w:t>14</w:t>
      </w:r>
      <w:r>
        <w:rPr>
          <w:rFonts w:hint="eastAsia" w:ascii="宋体" w:hAnsi="宋体" w:eastAsia="宋体" w:cs="宋体"/>
          <w:sz w:val="32"/>
          <w:szCs w:val="32"/>
        </w:rPr>
        <w:t>个，公开项目占全部预算项目的100%。公开填报绩效目标的项目预算</w:t>
      </w:r>
      <w:r>
        <w:rPr>
          <w:rFonts w:hint="eastAsia" w:ascii="宋体" w:hAnsi="宋体" w:eastAsia="宋体" w:cs="宋体"/>
          <w:sz w:val="32"/>
          <w:szCs w:val="32"/>
          <w:lang w:val="en-US" w:eastAsia="zh-CN"/>
        </w:rPr>
        <w:t>316.07</w:t>
      </w:r>
      <w:r>
        <w:rPr>
          <w:rFonts w:hint="eastAsia" w:ascii="宋体" w:hAnsi="宋体" w:eastAsia="宋体" w:cs="宋体"/>
          <w:sz w:val="32"/>
          <w:szCs w:val="32"/>
        </w:rPr>
        <w:t>万元，占全部项目预算的100%。</w:t>
      </w:r>
    </w:p>
    <w:p>
      <w:pPr>
        <w:pStyle w:val="2"/>
        <w:rPr>
          <w:rFonts w:hint="eastAsia"/>
        </w:rPr>
      </w:pPr>
    </w:p>
    <w:p>
      <w:pPr>
        <w:pageBreakBefore w:val="0"/>
        <w:numPr>
          <w:ilvl w:val="0"/>
          <w:numId w:val="0"/>
        </w:numPr>
        <w:pBdr>
          <w:bottom w:val="single" w:color="FFFFFF" w:sz="4" w:space="30"/>
        </w:pBdr>
        <w:kinsoku/>
        <w:wordWrap/>
        <w:overflowPunct/>
        <w:topLinePunct w:val="0"/>
        <w:bidi w:val="0"/>
        <w:snapToGrid w:val="0"/>
        <w:spacing w:line="360" w:lineRule="auto"/>
        <w:ind w:firstLine="723" w:firstLineChars="200"/>
        <w:jc w:val="center"/>
        <w:rPr>
          <w:rFonts w:hint="eastAsia" w:ascii="宋体" w:hAnsi="宋体" w:eastAsia="宋体" w:cs="宋体"/>
          <w:sz w:val="36"/>
          <w:szCs w:val="36"/>
        </w:rPr>
      </w:pPr>
      <w:r>
        <w:rPr>
          <w:rFonts w:hint="eastAsia" w:ascii="宋体" w:hAnsi="宋体" w:eastAsia="宋体" w:cs="宋体"/>
          <w:b/>
          <w:bCs/>
          <w:sz w:val="36"/>
          <w:szCs w:val="36"/>
        </w:rPr>
        <w:t>第三部分名词解释</w:t>
      </w:r>
    </w:p>
    <w:p>
      <w:pPr>
        <w:pageBreakBefore w:val="0"/>
        <w:kinsoku/>
        <w:wordWrap/>
        <w:overflowPunct/>
        <w:topLinePunct w:val="0"/>
        <w:bidi w:val="0"/>
        <w:spacing w:line="360" w:lineRule="auto"/>
        <w:ind w:firstLine="643" w:firstLineChars="200"/>
        <w:rPr>
          <w:rFonts w:hint="eastAsia" w:ascii="宋体" w:hAnsi="宋体" w:eastAsia="宋体" w:cs="宋体"/>
          <w:sz w:val="32"/>
          <w:szCs w:val="32"/>
        </w:rPr>
      </w:pPr>
      <w:r>
        <w:rPr>
          <w:rFonts w:hint="eastAsia" w:ascii="宋体" w:hAnsi="宋体" w:eastAsia="宋体" w:cs="宋体"/>
          <w:b/>
          <w:bCs/>
          <w:sz w:val="32"/>
          <w:szCs w:val="32"/>
        </w:rPr>
        <w:t>一、财政拨款：</w:t>
      </w:r>
      <w:r>
        <w:rPr>
          <w:rFonts w:hint="eastAsia" w:ascii="宋体" w:hAnsi="宋体" w:eastAsia="宋体" w:cs="宋体"/>
          <w:sz w:val="32"/>
          <w:szCs w:val="32"/>
        </w:rPr>
        <w:t>部门/单位从同级财政部门取得的各类财政拨款，包括一般公共预算拨款、政府性基金预算拨款、国有资本经营预算拨款。</w:t>
      </w:r>
    </w:p>
    <w:p>
      <w:pPr>
        <w:pageBreakBefore w:val="0"/>
        <w:kinsoku/>
        <w:wordWrap/>
        <w:overflowPunct/>
        <w:topLinePunct w:val="0"/>
        <w:bidi w:val="0"/>
        <w:spacing w:line="360" w:lineRule="auto"/>
        <w:ind w:firstLine="643" w:firstLineChars="200"/>
        <w:rPr>
          <w:rFonts w:hint="eastAsia" w:ascii="宋体" w:hAnsi="宋体" w:eastAsia="宋体" w:cs="宋体"/>
        </w:rPr>
      </w:pPr>
      <w:r>
        <w:rPr>
          <w:rFonts w:hint="eastAsia" w:ascii="宋体" w:hAnsi="宋体" w:eastAsia="宋体" w:cs="宋体"/>
          <w:b/>
          <w:bCs/>
          <w:sz w:val="32"/>
          <w:szCs w:val="32"/>
        </w:rPr>
        <w:t>二、一般公共预算拨款收入：</w:t>
      </w:r>
      <w:r>
        <w:rPr>
          <w:rFonts w:hint="eastAsia" w:ascii="宋体" w:hAnsi="宋体" w:eastAsia="宋体" w:cs="宋体"/>
          <w:bCs/>
          <w:sz w:val="30"/>
          <w:szCs w:val="30"/>
        </w:rPr>
        <w:t>指市级财政当年拨付的资金。</w:t>
      </w:r>
    </w:p>
    <w:p>
      <w:pPr>
        <w:pageBreakBefore w:val="0"/>
        <w:kinsoku/>
        <w:wordWrap/>
        <w:overflowPunct/>
        <w:topLinePunct w:val="0"/>
        <w:bidi w:val="0"/>
        <w:spacing w:line="360" w:lineRule="auto"/>
        <w:ind w:firstLine="643" w:firstLineChars="200"/>
        <w:rPr>
          <w:rFonts w:hint="eastAsia" w:ascii="宋体" w:hAnsi="宋体" w:eastAsia="宋体" w:cs="宋体"/>
          <w:sz w:val="32"/>
          <w:szCs w:val="32"/>
        </w:rPr>
      </w:pPr>
      <w:r>
        <w:rPr>
          <w:rFonts w:hint="eastAsia" w:ascii="宋体" w:hAnsi="宋体" w:eastAsia="宋体" w:cs="宋体"/>
          <w:b/>
          <w:bCs/>
          <w:sz w:val="32"/>
          <w:szCs w:val="32"/>
        </w:rPr>
        <w:t>三、财政专户管理资金：</w:t>
      </w:r>
      <w:r>
        <w:rPr>
          <w:rFonts w:hint="eastAsia" w:ascii="宋体" w:hAnsi="宋体" w:eastAsia="宋体" w:cs="宋体"/>
          <w:sz w:val="32"/>
          <w:szCs w:val="32"/>
        </w:rPr>
        <w:t>缴入财政专户、实行专项管理的高中以上学费、住宿费、高校委托培养费、函大、电大、夜大及短训班培训费等教育收费。</w:t>
      </w:r>
    </w:p>
    <w:p>
      <w:pPr>
        <w:pageBreakBefore w:val="0"/>
        <w:kinsoku/>
        <w:wordWrap/>
        <w:overflowPunct/>
        <w:topLinePunct w:val="0"/>
        <w:bidi w:val="0"/>
        <w:spacing w:line="360" w:lineRule="auto"/>
        <w:ind w:firstLine="643" w:firstLineChars="200"/>
        <w:rPr>
          <w:rFonts w:hint="eastAsia" w:ascii="宋体" w:hAnsi="宋体" w:eastAsia="宋体" w:cs="宋体"/>
          <w:sz w:val="32"/>
          <w:szCs w:val="32"/>
        </w:rPr>
      </w:pPr>
      <w:r>
        <w:rPr>
          <w:rFonts w:hint="eastAsia" w:ascii="宋体" w:hAnsi="宋体" w:eastAsia="宋体" w:cs="宋体"/>
          <w:b/>
          <w:bCs/>
          <w:sz w:val="32"/>
          <w:szCs w:val="32"/>
        </w:rPr>
        <w:t>四、单位资金：</w:t>
      </w:r>
      <w:r>
        <w:rPr>
          <w:rFonts w:hint="eastAsia" w:ascii="宋体" w:hAnsi="宋体" w:eastAsia="宋体" w:cs="宋体"/>
          <w:sz w:val="32"/>
          <w:szCs w:val="32"/>
        </w:rPr>
        <w:t>除财政拨款收入和财政专户管理资金以外的收入，包括事业收入（不含教育收费）、上级补助收入、附属单位上缴收入、事业单位经营收入及其他收入（包含债务收入、投资收益等）。</w:t>
      </w:r>
    </w:p>
    <w:p>
      <w:pPr>
        <w:pageBreakBefore w:val="0"/>
        <w:kinsoku/>
        <w:wordWrap/>
        <w:overflowPunct/>
        <w:topLinePunct w:val="0"/>
        <w:bidi w:val="0"/>
        <w:spacing w:line="360" w:lineRule="auto"/>
        <w:ind w:firstLine="643" w:firstLineChars="200"/>
        <w:rPr>
          <w:rFonts w:hint="eastAsia" w:ascii="宋体" w:hAnsi="宋体" w:eastAsia="宋体" w:cs="宋体"/>
          <w:sz w:val="32"/>
          <w:szCs w:val="32"/>
        </w:rPr>
      </w:pPr>
      <w:r>
        <w:rPr>
          <w:rFonts w:hint="eastAsia" w:ascii="宋体" w:hAnsi="宋体" w:eastAsia="宋体" w:cs="宋体"/>
          <w:b/>
          <w:bCs/>
          <w:sz w:val="32"/>
          <w:szCs w:val="32"/>
        </w:rPr>
        <w:t>五、基本支出：</w:t>
      </w:r>
      <w:r>
        <w:rPr>
          <w:rFonts w:hint="eastAsia" w:ascii="宋体" w:hAnsi="宋体" w:eastAsia="宋体" w:cs="宋体"/>
          <w:sz w:val="32"/>
          <w:szCs w:val="32"/>
        </w:rPr>
        <w:t>指为保障机构正常运转、完成工作任务而发生的人员支出和公用支出。</w:t>
      </w:r>
    </w:p>
    <w:p>
      <w:pPr>
        <w:pageBreakBefore w:val="0"/>
        <w:kinsoku/>
        <w:wordWrap/>
        <w:overflowPunct/>
        <w:topLinePunct w:val="0"/>
        <w:bidi w:val="0"/>
        <w:spacing w:line="360" w:lineRule="auto"/>
        <w:ind w:firstLine="643" w:firstLineChars="200"/>
        <w:rPr>
          <w:rFonts w:hint="eastAsia" w:ascii="宋体" w:hAnsi="宋体" w:eastAsia="宋体" w:cs="宋体"/>
          <w:sz w:val="32"/>
          <w:szCs w:val="32"/>
        </w:rPr>
      </w:pPr>
      <w:r>
        <w:rPr>
          <w:rFonts w:hint="eastAsia" w:ascii="宋体" w:hAnsi="宋体" w:eastAsia="宋体" w:cs="宋体"/>
          <w:b/>
          <w:bCs/>
          <w:sz w:val="32"/>
          <w:szCs w:val="32"/>
        </w:rPr>
        <w:t>六、项目支出：</w:t>
      </w:r>
      <w:r>
        <w:rPr>
          <w:rFonts w:hint="eastAsia" w:ascii="宋体" w:hAnsi="宋体" w:eastAsia="宋体" w:cs="宋体"/>
          <w:sz w:val="32"/>
          <w:szCs w:val="32"/>
        </w:rPr>
        <w:t>指在基本支出之外为完成特定工作任务和事业发展目标所发生的支出。</w:t>
      </w:r>
    </w:p>
    <w:p>
      <w:pPr>
        <w:pageBreakBefore w:val="0"/>
        <w:kinsoku/>
        <w:wordWrap/>
        <w:overflowPunct/>
        <w:topLinePunct w:val="0"/>
        <w:bidi w:val="0"/>
        <w:spacing w:line="360" w:lineRule="auto"/>
        <w:ind w:firstLine="643" w:firstLineChars="200"/>
        <w:rPr>
          <w:rFonts w:hint="eastAsia" w:ascii="宋体" w:hAnsi="宋体" w:eastAsia="宋体" w:cs="宋体"/>
          <w:sz w:val="32"/>
          <w:szCs w:val="32"/>
        </w:rPr>
      </w:pPr>
      <w:r>
        <w:rPr>
          <w:rFonts w:hint="eastAsia" w:ascii="宋体" w:hAnsi="宋体" w:eastAsia="宋体" w:cs="宋体"/>
          <w:b/>
          <w:bCs/>
          <w:sz w:val="32"/>
          <w:szCs w:val="32"/>
        </w:rPr>
        <w:t>七、对个人和家庭的补助：</w:t>
      </w:r>
      <w:r>
        <w:rPr>
          <w:rFonts w:hint="eastAsia" w:ascii="宋体" w:hAnsi="宋体" w:eastAsia="宋体" w:cs="宋体"/>
          <w:sz w:val="32"/>
          <w:szCs w:val="32"/>
        </w:rPr>
        <w:t>是指政府用于对个人和家庭的补助支出。</w:t>
      </w:r>
    </w:p>
    <w:p>
      <w:pPr>
        <w:pageBreakBefore w:val="0"/>
        <w:kinsoku/>
        <w:wordWrap/>
        <w:overflowPunct/>
        <w:topLinePunct w:val="0"/>
        <w:bidi w:val="0"/>
        <w:spacing w:line="360" w:lineRule="auto"/>
        <w:ind w:firstLine="643" w:firstLineChars="200"/>
        <w:rPr>
          <w:rFonts w:hint="eastAsia" w:ascii="宋体" w:hAnsi="宋体" w:eastAsia="宋体" w:cs="宋体"/>
          <w:sz w:val="32"/>
          <w:szCs w:val="32"/>
        </w:rPr>
      </w:pPr>
      <w:r>
        <w:rPr>
          <w:rFonts w:hint="eastAsia" w:ascii="宋体" w:hAnsi="宋体" w:eastAsia="宋体" w:cs="宋体"/>
          <w:b/>
          <w:bCs/>
          <w:sz w:val="32"/>
          <w:szCs w:val="32"/>
        </w:rPr>
        <w:t>八、“三公”经费：</w:t>
      </w:r>
      <w:r>
        <w:rPr>
          <w:rFonts w:hint="eastAsia" w:ascii="宋体" w:hAnsi="宋体" w:eastAsia="宋体" w:cs="宋体"/>
          <w:sz w:val="32"/>
          <w:szCs w:val="32"/>
        </w:rPr>
        <w:t>指部门/单位用一般公共预算财政拨款安排的因公出国（境）费、公务用车购置及运行维护费和公务接待费。其中，因公出国（境）费反映部门/单位公务出国（境）的住宿费、旅费、伙食补助费、杂费、培训费等支出；公务用车购置及运行维护费反映部门/单位公务用车购置费、燃料费、维修费、过路过桥费、保险费、安全奖励费用等支出；公务接待费反映部门/单位按规定开支的各类公务接待（含外宾接待）支出。</w:t>
      </w:r>
    </w:p>
    <w:p>
      <w:pPr>
        <w:pStyle w:val="2"/>
        <w:spacing w:line="360" w:lineRule="auto"/>
        <w:ind w:left="0" w:leftChars="0" w:firstLine="643" w:firstLineChars="200"/>
        <w:rPr>
          <w:rFonts w:hint="eastAsia" w:ascii="宋体" w:hAnsi="宋体" w:eastAsia="宋体" w:cs="宋体"/>
          <w:sz w:val="32"/>
          <w:szCs w:val="32"/>
        </w:rPr>
      </w:pPr>
      <w:r>
        <w:rPr>
          <w:rFonts w:hint="eastAsia" w:ascii="宋体" w:hAnsi="宋体" w:eastAsia="宋体" w:cs="宋体"/>
          <w:b/>
          <w:bCs/>
          <w:sz w:val="32"/>
          <w:szCs w:val="32"/>
        </w:rPr>
        <w:t>九、机构运行经费：</w:t>
      </w:r>
      <w:r>
        <w:rPr>
          <w:rFonts w:hint="eastAsia" w:ascii="宋体" w:hAnsi="宋体" w:eastAsia="宋体" w:cs="宋体"/>
          <w:sz w:val="32"/>
          <w:szCs w:val="32"/>
        </w:rPr>
        <w:t>指部门（单位）使用一般公共预算安排的基本支出中的日常公用经费支出，包括办公及印刷费、邮电费、差旅费、会议费、福利费、日常维修费、专用材料及一般设备购置费、办公用房水电费、办公用房取暖费、办公用房物业管理费、公务用车运行维护费及其他费用等。</w:t>
      </w:r>
    </w:p>
    <w:p>
      <w:pPr>
        <w:pStyle w:val="2"/>
        <w:spacing w:line="360" w:lineRule="auto"/>
        <w:rPr>
          <w:rFonts w:hint="eastAsia" w:ascii="宋体" w:hAnsi="宋体" w:eastAsia="宋体" w:cs="宋体"/>
        </w:rPr>
      </w:pPr>
    </w:p>
    <w:p>
      <w:pPr>
        <w:pStyle w:val="2"/>
        <w:spacing w:line="360" w:lineRule="auto"/>
        <w:rPr>
          <w:rFonts w:hint="eastAsia" w:ascii="宋体" w:hAnsi="宋体" w:eastAsia="宋体" w:cs="宋体"/>
        </w:rPr>
      </w:pPr>
    </w:p>
    <w:p>
      <w:pPr>
        <w:pStyle w:val="2"/>
        <w:spacing w:line="360" w:lineRule="auto"/>
        <w:rPr>
          <w:rFonts w:hint="eastAsia" w:ascii="宋体" w:hAnsi="宋体" w:eastAsia="宋体" w:cs="宋体"/>
        </w:rPr>
      </w:pPr>
    </w:p>
    <w:p>
      <w:pPr>
        <w:pStyle w:val="2"/>
        <w:spacing w:line="360" w:lineRule="auto"/>
        <w:rPr>
          <w:rFonts w:hint="eastAsia" w:ascii="宋体" w:hAnsi="宋体" w:eastAsia="宋体" w:cs="宋体"/>
        </w:rPr>
      </w:pPr>
    </w:p>
    <w:p>
      <w:pPr>
        <w:pageBreakBefore w:val="0"/>
        <w:kinsoku/>
        <w:wordWrap/>
        <w:overflowPunct/>
        <w:topLinePunct w:val="0"/>
        <w:bidi w:val="0"/>
        <w:spacing w:line="600" w:lineRule="exact"/>
        <w:jc w:val="center"/>
        <w:rPr>
          <w:rFonts w:hint="eastAsia" w:ascii="宋体" w:hAnsi="宋体" w:eastAsia="宋体" w:cs="宋体"/>
          <w:b/>
          <w:bCs/>
          <w:sz w:val="36"/>
          <w:szCs w:val="36"/>
        </w:rPr>
      </w:pPr>
      <w:r>
        <w:rPr>
          <w:rFonts w:hint="eastAsia" w:ascii="宋体" w:hAnsi="宋体" w:eastAsia="宋体" w:cs="宋体"/>
          <w:b/>
          <w:bCs/>
          <w:sz w:val="36"/>
          <w:szCs w:val="36"/>
        </w:rPr>
        <w:t>第四部分预算公开联系方式及信息反馈渠道</w:t>
      </w:r>
    </w:p>
    <w:p>
      <w:pPr>
        <w:pageBreakBefore w:val="0"/>
        <w:kinsoku/>
        <w:wordWrap/>
        <w:overflowPunct/>
        <w:topLinePunct w:val="0"/>
        <w:bidi w:val="0"/>
        <w:snapToGrid w:val="0"/>
        <w:spacing w:line="600" w:lineRule="exact"/>
        <w:rPr>
          <w:rFonts w:hint="eastAsia" w:ascii="宋体" w:hAnsi="宋体" w:eastAsia="宋体" w:cs="宋体"/>
          <w:sz w:val="36"/>
          <w:szCs w:val="36"/>
        </w:rPr>
      </w:pPr>
    </w:p>
    <w:p>
      <w:pPr>
        <w:pageBreakBefore w:val="0"/>
        <w:kinsoku/>
        <w:wordWrap/>
        <w:overflowPunct/>
        <w:topLinePunct w:val="0"/>
        <w:bidi w:val="0"/>
        <w:snapToGrid w:val="0"/>
        <w:spacing w:line="600" w:lineRule="exact"/>
        <w:ind w:firstLine="640" w:firstLineChars="200"/>
        <w:rPr>
          <w:rFonts w:hint="eastAsia" w:ascii="宋体" w:hAnsi="宋体" w:eastAsia="宋体" w:cs="宋体"/>
          <w:sz w:val="32"/>
          <w:szCs w:val="32"/>
          <w:lang w:val="en-US" w:eastAsia="zh-CN"/>
        </w:rPr>
      </w:pPr>
      <w:r>
        <w:rPr>
          <w:rFonts w:hint="eastAsia" w:ascii="宋体" w:hAnsi="宋体" w:eastAsia="宋体" w:cs="宋体"/>
          <w:sz w:val="32"/>
          <w:szCs w:val="32"/>
        </w:rPr>
        <w:t>本单位预算公开信息反馈和联系方式：</w:t>
      </w:r>
    </w:p>
    <w:p>
      <w:pPr>
        <w:pageBreakBefore w:val="0"/>
        <w:kinsoku/>
        <w:wordWrap/>
        <w:overflowPunct/>
        <w:topLinePunct w:val="0"/>
        <w:bidi w:val="0"/>
        <w:snapToGrid w:val="0"/>
        <w:spacing w:line="600" w:lineRule="exact"/>
        <w:ind w:firstLine="640" w:firstLineChars="200"/>
        <w:rPr>
          <w:rFonts w:hint="eastAsia" w:ascii="宋体" w:hAnsi="宋体" w:eastAsia="宋体" w:cs="宋体"/>
          <w:sz w:val="32"/>
          <w:szCs w:val="32"/>
          <w:lang w:val="en-US" w:eastAsia="zh-CN"/>
        </w:rPr>
      </w:pPr>
      <w:r>
        <w:rPr>
          <w:rFonts w:hint="eastAsia" w:ascii="宋体" w:hAnsi="宋体" w:eastAsia="宋体" w:cs="宋体"/>
          <w:sz w:val="32"/>
          <w:szCs w:val="32"/>
        </w:rPr>
        <w:t>联系人：</w:t>
      </w:r>
      <w:r>
        <w:rPr>
          <w:rFonts w:hint="eastAsia" w:ascii="宋体" w:hAnsi="宋体" w:eastAsia="宋体" w:cs="宋体"/>
          <w:sz w:val="32"/>
          <w:szCs w:val="32"/>
          <w:lang w:val="en-US" w:eastAsia="zh-CN"/>
        </w:rPr>
        <w:t xml:space="preserve">韩轩宇     </w:t>
      </w:r>
    </w:p>
    <w:p>
      <w:pPr>
        <w:pageBreakBefore w:val="0"/>
        <w:kinsoku/>
        <w:wordWrap/>
        <w:overflowPunct/>
        <w:topLinePunct w:val="0"/>
        <w:bidi w:val="0"/>
        <w:snapToGrid w:val="0"/>
        <w:spacing w:line="600" w:lineRule="exact"/>
        <w:ind w:firstLine="640" w:firstLineChars="200"/>
        <w:rPr>
          <w:rFonts w:hint="eastAsia" w:ascii="宋体" w:hAnsi="宋体" w:eastAsia="宋体" w:cs="宋体"/>
          <w:sz w:val="32"/>
          <w:szCs w:val="32"/>
          <w:lang w:val="en-US" w:eastAsia="zh-CN"/>
        </w:rPr>
        <w:sectPr>
          <w:pgSz w:w="11910" w:h="16840"/>
          <w:pgMar w:top="1580" w:right="1020" w:bottom="280" w:left="1240" w:header="720" w:footer="720" w:gutter="0"/>
          <w:pgNumType w:fmt="numberInDash"/>
          <w:cols w:space="720" w:num="1"/>
        </w:sectPr>
      </w:pPr>
      <w:r>
        <w:rPr>
          <w:rFonts w:hint="eastAsia" w:ascii="宋体" w:hAnsi="宋体" w:eastAsia="宋体" w:cs="宋体"/>
          <w:sz w:val="32"/>
          <w:szCs w:val="32"/>
        </w:rPr>
        <w:t>联系电话：</w:t>
      </w:r>
      <w:r>
        <w:rPr>
          <w:rFonts w:hint="eastAsia" w:ascii="宋体" w:hAnsi="宋体" w:eastAsia="宋体" w:cs="宋体"/>
          <w:sz w:val="32"/>
          <w:szCs w:val="32"/>
          <w:lang w:val="en-US" w:eastAsia="zh-CN"/>
        </w:rPr>
        <w:t>6950723</w:t>
      </w:r>
    </w:p>
    <w:p>
      <w:pPr>
        <w:pStyle w:val="7"/>
        <w:pageBreakBefore w:val="0"/>
        <w:tabs>
          <w:tab w:val="left" w:pos="4392"/>
        </w:tabs>
        <w:kinsoku/>
        <w:wordWrap/>
        <w:overflowPunct/>
        <w:topLinePunct w:val="0"/>
        <w:bidi w:val="0"/>
        <w:spacing w:before="0" w:after="0" w:line="600" w:lineRule="exact"/>
        <w:jc w:val="center"/>
        <w:rPr>
          <w:rFonts w:hint="eastAsia" w:ascii="宋体" w:hAnsi="宋体" w:eastAsia="宋体" w:cs="宋体"/>
          <w:b/>
          <w:bCs/>
          <w:sz w:val="44"/>
          <w:szCs w:val="44"/>
        </w:rPr>
      </w:pPr>
      <w:r>
        <w:rPr>
          <w:rFonts w:hint="eastAsia" w:ascii="宋体" w:hAnsi="宋体" w:eastAsia="宋体" w:cs="宋体"/>
          <w:b/>
          <w:bCs/>
          <w:sz w:val="44"/>
          <w:szCs w:val="44"/>
        </w:rPr>
        <w:t>第五部分</w:t>
      </w:r>
      <w:r>
        <w:rPr>
          <w:rFonts w:hint="eastAsia" w:ascii="宋体" w:hAnsi="宋体" w:eastAsia="宋体" w:cs="宋体"/>
          <w:b/>
          <w:bCs/>
          <w:sz w:val="44"/>
          <w:szCs w:val="44"/>
          <w:lang w:val="en-US" w:eastAsia="zh-CN"/>
        </w:rPr>
        <w:t>2025</w:t>
      </w:r>
      <w:r>
        <w:rPr>
          <w:rFonts w:hint="eastAsia" w:ascii="宋体" w:hAnsi="宋体" w:eastAsia="宋体" w:cs="宋体"/>
          <w:b/>
          <w:bCs/>
          <w:sz w:val="44"/>
          <w:szCs w:val="44"/>
        </w:rPr>
        <w:t>年度</w:t>
      </w:r>
      <w:r>
        <w:rPr>
          <w:rFonts w:hint="eastAsia" w:ascii="宋体" w:hAnsi="宋体" w:eastAsia="宋体" w:cs="宋体"/>
          <w:b/>
          <w:bCs/>
          <w:sz w:val="44"/>
          <w:szCs w:val="44"/>
          <w:lang w:val="en-US" w:eastAsia="zh-CN"/>
        </w:rPr>
        <w:t>锡林郭勒盟社会福利院</w:t>
      </w:r>
      <w:r>
        <w:rPr>
          <w:rFonts w:hint="eastAsia" w:ascii="宋体" w:hAnsi="宋体" w:eastAsia="宋体" w:cs="宋体"/>
          <w:b/>
          <w:bCs/>
          <w:sz w:val="44"/>
          <w:szCs w:val="44"/>
        </w:rPr>
        <w:t>预算表</w:t>
      </w:r>
    </w:p>
    <w:p>
      <w:pPr>
        <w:pStyle w:val="2"/>
        <w:ind w:left="0" w:leftChars="0" w:firstLine="0" w:firstLineChars="0"/>
        <w:rPr>
          <w:rFonts w:hint="eastAsia" w:ascii="宋体" w:hAnsi="宋体" w:eastAsia="宋体" w:cs="宋体"/>
          <w:b w:val="0"/>
          <w:bCs w:val="0"/>
          <w:sz w:val="30"/>
          <w:szCs w:val="30"/>
        </w:rPr>
      </w:pPr>
    </w:p>
    <w:tbl>
      <w:tblPr>
        <w:tblStyle w:val="19"/>
        <w:tblW w:w="5000" w:type="pct"/>
        <w:tblInd w:w="0" w:type="dxa"/>
        <w:shd w:val="clear" w:color="auto" w:fill="auto"/>
        <w:tblLayout w:type="autofit"/>
        <w:tblCellMar>
          <w:top w:w="0" w:type="dxa"/>
          <w:left w:w="0" w:type="dxa"/>
          <w:bottom w:w="0" w:type="dxa"/>
          <w:right w:w="0" w:type="dxa"/>
        </w:tblCellMar>
      </w:tblPr>
      <w:tblGrid>
        <w:gridCol w:w="4973"/>
        <w:gridCol w:w="2354"/>
        <w:gridCol w:w="5326"/>
        <w:gridCol w:w="2357"/>
      </w:tblGrid>
      <w:tr>
        <w:tblPrEx>
          <w:shd w:val="clear" w:color="auto" w:fill="auto"/>
          <w:tblCellMar>
            <w:top w:w="0" w:type="dxa"/>
            <w:left w:w="0" w:type="dxa"/>
            <w:bottom w:w="0" w:type="dxa"/>
            <w:right w:w="0" w:type="dxa"/>
          </w:tblCellMar>
        </w:tblPrEx>
        <w:trPr>
          <w:trHeight w:val="375" w:hRule="atLeast"/>
        </w:trPr>
        <w:tc>
          <w:tcPr>
            <w:tcW w:w="5000" w:type="pct"/>
            <w:gridSpan w:val="4"/>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32"/>
                <w:szCs w:val="32"/>
                <w:u w:val="none"/>
              </w:rPr>
            </w:pPr>
            <w:r>
              <w:rPr>
                <w:rFonts w:hint="eastAsia" w:ascii="宋体" w:hAnsi="宋体" w:eastAsia="宋体" w:cs="宋体"/>
                <w:b/>
                <w:i w:val="0"/>
                <w:color w:val="000000"/>
                <w:kern w:val="0"/>
                <w:sz w:val="32"/>
                <w:szCs w:val="32"/>
                <w:u w:val="none"/>
                <w:lang w:val="en-US" w:eastAsia="zh-CN" w:bidi="ar"/>
              </w:rPr>
              <w:t>表1</w:t>
            </w:r>
          </w:p>
        </w:tc>
      </w:tr>
      <w:tr>
        <w:tblPrEx>
          <w:tblCellMar>
            <w:top w:w="0" w:type="dxa"/>
            <w:left w:w="0" w:type="dxa"/>
            <w:bottom w:w="0" w:type="dxa"/>
            <w:right w:w="0" w:type="dxa"/>
          </w:tblCellMar>
        </w:tblPrEx>
        <w:trPr>
          <w:trHeight w:val="345" w:hRule="atLeast"/>
        </w:trPr>
        <w:tc>
          <w:tcPr>
            <w:tcW w:w="1657"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783"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1774"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784" w:type="pc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单位：元</w:t>
            </w:r>
          </w:p>
        </w:tc>
      </w:tr>
      <w:tr>
        <w:tblPrEx>
          <w:tblCellMar>
            <w:top w:w="0" w:type="dxa"/>
            <w:left w:w="0" w:type="dxa"/>
            <w:bottom w:w="0" w:type="dxa"/>
            <w:right w:w="0" w:type="dxa"/>
          </w:tblCellMar>
        </w:tblPrEx>
        <w:trPr>
          <w:trHeight w:val="600" w:hRule="atLeast"/>
        </w:trPr>
        <w:tc>
          <w:tcPr>
            <w:tcW w:w="5000" w:type="pct"/>
            <w:gridSpan w:val="4"/>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6"/>
                <w:szCs w:val="36"/>
                <w:u w:val="none"/>
              </w:rPr>
            </w:pPr>
            <w:r>
              <w:rPr>
                <w:rFonts w:hint="eastAsia" w:ascii="宋体" w:hAnsi="宋体" w:eastAsia="宋体" w:cs="宋体"/>
                <w:b/>
                <w:i w:val="0"/>
                <w:color w:val="000000"/>
                <w:kern w:val="0"/>
                <w:sz w:val="36"/>
                <w:szCs w:val="36"/>
                <w:u w:val="none"/>
                <w:lang w:val="en-US" w:eastAsia="zh-CN" w:bidi="ar"/>
              </w:rPr>
              <w:t>收支总表</w:t>
            </w:r>
          </w:p>
        </w:tc>
      </w:tr>
      <w:tr>
        <w:tblPrEx>
          <w:tblCellMar>
            <w:top w:w="0" w:type="dxa"/>
            <w:left w:w="0" w:type="dxa"/>
            <w:bottom w:w="0" w:type="dxa"/>
            <w:right w:w="0" w:type="dxa"/>
          </w:tblCellMar>
        </w:tblPrEx>
        <w:trPr>
          <w:trHeight w:val="450" w:hRule="atLeast"/>
        </w:trPr>
        <w:tc>
          <w:tcPr>
            <w:tcW w:w="2441" w:type="pct"/>
            <w:gridSpan w:val="2"/>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收      入</w:t>
            </w:r>
          </w:p>
        </w:tc>
        <w:tc>
          <w:tcPr>
            <w:tcW w:w="2558" w:type="pct"/>
            <w:gridSpan w:val="2"/>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支      出</w:t>
            </w:r>
          </w:p>
        </w:tc>
      </w:tr>
      <w:tr>
        <w:tblPrEx>
          <w:tblCellMar>
            <w:top w:w="0" w:type="dxa"/>
            <w:left w:w="0" w:type="dxa"/>
            <w:bottom w:w="0" w:type="dxa"/>
            <w:right w:w="0" w:type="dxa"/>
          </w:tblCellMar>
        </w:tblPrEx>
        <w:trPr>
          <w:trHeight w:val="450"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项    目</w:t>
            </w: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预算数</w:t>
            </w: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项    目</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预算数</w:t>
            </w: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一、一般公共预算拨款收入</w:t>
            </w: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6,643,791.60</w:t>
            </w: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一、一般公共服务支出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二、政府性基金预算拨款收入</w:t>
            </w: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950,000.00</w:t>
            </w: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二、外交支出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三、国有资本经营预算拨款收入</w:t>
            </w: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三、国防支出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四、财政专户管理资金收入</w:t>
            </w: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四、公共安全支出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五、事业收入</w:t>
            </w: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4,450,000.00</w:t>
            </w: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五、教育支出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150,000.00</w:t>
            </w: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六、事业单位经营收入</w:t>
            </w: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六、科学技术支出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七、上级补助收入</w:t>
            </w: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七、文化体育旅游与传媒支出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八、附属单位上缴收入</w:t>
            </w: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八、社会保障和就业支出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11,034,064.41</w:t>
            </w: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九、其他收入</w:t>
            </w: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九、社会保险基金支出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十、卫生健康支出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102,001.00</w:t>
            </w: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十一、节能环保支出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十二、城市社区支出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十三、农林水支出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十四、交通运输支出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十五、资源勘探工业信息等支出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十六、商业服务业等支出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十七、金融支出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十八、援助其他地区支出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十九、自然资源海洋气象等支出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二十、住房保障支出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224,625.00</w:t>
            </w: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二十一、粮油物资储备支出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二十二、国有资本经营预算支出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二十三、灾害防治及应急管理支出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二十四、预备费</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二十五、其他支出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1,405,552.00</w:t>
            </w: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二十六、转移性支付</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二十七、债务还本支出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二十八、债务付息支出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二十九、债务发行费用支出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三十、抗疫特别国债还本支出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三十一、与中央财政往来性支出</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本年收入合计</w:t>
            </w: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12,043,791.60</w:t>
            </w: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本年支出合计</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12,916,242.41</w:t>
            </w: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上年结转结余</w:t>
            </w: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872,450.81</w:t>
            </w: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年终结转结余</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65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收    入    总    计</w:t>
            </w:r>
          </w:p>
        </w:tc>
        <w:tc>
          <w:tcPr>
            <w:tcW w:w="7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12,916,242.41</w:t>
            </w:r>
          </w:p>
        </w:tc>
        <w:tc>
          <w:tcPr>
            <w:tcW w:w="177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支    出    总    计</w:t>
            </w:r>
          </w:p>
        </w:tc>
        <w:tc>
          <w:tcPr>
            <w:tcW w:w="78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12,916,242.41</w:t>
            </w:r>
          </w:p>
        </w:tc>
      </w:tr>
    </w:tbl>
    <w:p>
      <w:pPr>
        <w:pStyle w:val="2"/>
        <w:ind w:left="0" w:leftChars="0" w:firstLine="0" w:firstLineChars="0"/>
        <w:rPr>
          <w:rFonts w:hint="eastAsia" w:ascii="宋体" w:hAnsi="宋体" w:eastAsia="宋体" w:cs="宋体"/>
          <w:b w:val="0"/>
          <w:bCs w:val="0"/>
          <w:sz w:val="30"/>
          <w:szCs w:val="30"/>
        </w:rPr>
      </w:pPr>
    </w:p>
    <w:p>
      <w:pPr>
        <w:pStyle w:val="2"/>
        <w:ind w:left="0" w:leftChars="0" w:firstLine="0" w:firstLineChars="0"/>
        <w:rPr>
          <w:rFonts w:hint="eastAsia" w:ascii="宋体" w:hAnsi="宋体" w:eastAsia="宋体" w:cs="宋体"/>
          <w:b w:val="0"/>
          <w:bCs w:val="0"/>
          <w:sz w:val="30"/>
          <w:szCs w:val="30"/>
        </w:rPr>
      </w:pPr>
    </w:p>
    <w:p>
      <w:pPr>
        <w:pStyle w:val="2"/>
        <w:ind w:left="0" w:leftChars="0" w:firstLine="0" w:firstLineChars="0"/>
        <w:rPr>
          <w:rFonts w:hint="eastAsia" w:ascii="宋体" w:hAnsi="宋体" w:eastAsia="宋体" w:cs="宋体"/>
          <w:b w:val="0"/>
          <w:bCs w:val="0"/>
          <w:sz w:val="30"/>
          <w:szCs w:val="30"/>
        </w:rPr>
      </w:pPr>
    </w:p>
    <w:tbl>
      <w:tblPr>
        <w:tblStyle w:val="19"/>
        <w:tblW w:w="5000" w:type="pct"/>
        <w:tblInd w:w="0" w:type="dxa"/>
        <w:shd w:val="clear" w:color="auto" w:fill="auto"/>
        <w:tblLayout w:type="fixed"/>
        <w:tblCellMar>
          <w:top w:w="0" w:type="dxa"/>
          <w:left w:w="0" w:type="dxa"/>
          <w:bottom w:w="0" w:type="dxa"/>
          <w:right w:w="0" w:type="dxa"/>
        </w:tblCellMar>
      </w:tblPr>
      <w:tblGrid>
        <w:gridCol w:w="949"/>
        <w:gridCol w:w="1189"/>
        <w:gridCol w:w="630"/>
        <w:gridCol w:w="630"/>
        <w:gridCol w:w="720"/>
        <w:gridCol w:w="835"/>
        <w:gridCol w:w="952"/>
        <w:gridCol w:w="952"/>
        <w:gridCol w:w="582"/>
        <w:gridCol w:w="748"/>
        <w:gridCol w:w="725"/>
        <w:gridCol w:w="713"/>
        <w:gridCol w:w="550"/>
        <w:gridCol w:w="775"/>
        <w:gridCol w:w="822"/>
        <w:gridCol w:w="835"/>
        <w:gridCol w:w="818"/>
        <w:gridCol w:w="862"/>
        <w:gridCol w:w="723"/>
      </w:tblGrid>
      <w:tr>
        <w:tblPrEx>
          <w:shd w:val="clear" w:color="auto" w:fill="auto"/>
          <w:tblCellMar>
            <w:top w:w="0" w:type="dxa"/>
            <w:left w:w="0" w:type="dxa"/>
            <w:bottom w:w="0" w:type="dxa"/>
            <w:right w:w="0" w:type="dxa"/>
          </w:tblCellMar>
        </w:tblPrEx>
        <w:trPr>
          <w:trHeight w:val="375" w:hRule="atLeast"/>
        </w:trPr>
        <w:tc>
          <w:tcPr>
            <w:tcW w:w="5000" w:type="pct"/>
            <w:gridSpan w:val="19"/>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32"/>
                <w:szCs w:val="32"/>
                <w:u w:val="none"/>
              </w:rPr>
            </w:pPr>
            <w:r>
              <w:rPr>
                <w:rFonts w:hint="eastAsia" w:ascii="宋体" w:hAnsi="宋体" w:eastAsia="宋体" w:cs="宋体"/>
                <w:b/>
                <w:i w:val="0"/>
                <w:color w:val="000000"/>
                <w:kern w:val="0"/>
                <w:sz w:val="32"/>
                <w:szCs w:val="32"/>
                <w:u w:val="none"/>
                <w:lang w:val="en-US" w:eastAsia="zh-CN" w:bidi="ar"/>
              </w:rPr>
              <w:t>表2</w:t>
            </w:r>
          </w:p>
        </w:tc>
      </w:tr>
      <w:tr>
        <w:tblPrEx>
          <w:tblCellMar>
            <w:top w:w="0" w:type="dxa"/>
            <w:left w:w="0" w:type="dxa"/>
            <w:bottom w:w="0" w:type="dxa"/>
            <w:right w:w="0" w:type="dxa"/>
          </w:tblCellMar>
        </w:tblPrEx>
        <w:trPr>
          <w:trHeight w:val="900" w:hRule="atLeast"/>
        </w:trPr>
        <w:tc>
          <w:tcPr>
            <w:tcW w:w="5000" w:type="pct"/>
            <w:gridSpan w:val="19"/>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6"/>
                <w:szCs w:val="36"/>
                <w:u w:val="none"/>
              </w:rPr>
            </w:pPr>
            <w:r>
              <w:rPr>
                <w:rFonts w:hint="eastAsia" w:ascii="宋体" w:hAnsi="宋体" w:eastAsia="宋体" w:cs="宋体"/>
                <w:b/>
                <w:i w:val="0"/>
                <w:color w:val="000000"/>
                <w:kern w:val="0"/>
                <w:sz w:val="36"/>
                <w:szCs w:val="36"/>
                <w:u w:val="none"/>
                <w:lang w:val="en-US" w:eastAsia="zh-CN" w:bidi="ar"/>
              </w:rPr>
              <w:t>收入总表</w:t>
            </w:r>
          </w:p>
        </w:tc>
      </w:tr>
      <w:tr>
        <w:tblPrEx>
          <w:tblCellMar>
            <w:top w:w="0" w:type="dxa"/>
            <w:left w:w="0" w:type="dxa"/>
            <w:bottom w:w="0" w:type="dxa"/>
            <w:right w:w="0" w:type="dxa"/>
          </w:tblCellMar>
        </w:tblPrEx>
        <w:trPr>
          <w:trHeight w:val="345" w:hRule="atLeast"/>
        </w:trPr>
        <w:tc>
          <w:tcPr>
            <w:tcW w:w="316"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396"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09"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09"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39"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78"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317"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317"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193"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49"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41"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37"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183"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58"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73"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78"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72"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87"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40" w:type="pc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单位：元</w:t>
            </w:r>
          </w:p>
        </w:tc>
      </w:tr>
      <w:tr>
        <w:tblPrEx>
          <w:tblCellMar>
            <w:top w:w="0" w:type="dxa"/>
            <w:left w:w="0" w:type="dxa"/>
            <w:bottom w:w="0" w:type="dxa"/>
            <w:right w:w="0" w:type="dxa"/>
          </w:tblCellMar>
        </w:tblPrEx>
        <w:trPr>
          <w:trHeight w:val="450" w:hRule="atLeast"/>
        </w:trPr>
        <w:tc>
          <w:tcPr>
            <w:tcW w:w="316"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部门（单位）代码</w:t>
            </w:r>
          </w:p>
        </w:tc>
        <w:tc>
          <w:tcPr>
            <w:tcW w:w="396"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部门（单位）名称</w:t>
            </w:r>
          </w:p>
        </w:tc>
        <w:tc>
          <w:tcPr>
            <w:tcW w:w="209"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合计</w:t>
            </w:r>
          </w:p>
        </w:tc>
        <w:tc>
          <w:tcPr>
            <w:tcW w:w="2467" w:type="pct"/>
            <w:gridSpan w:val="10"/>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本年收入</w:t>
            </w:r>
          </w:p>
        </w:tc>
        <w:tc>
          <w:tcPr>
            <w:tcW w:w="1610" w:type="pct"/>
            <w:gridSpan w:val="6"/>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上年结转结余</w:t>
            </w:r>
          </w:p>
        </w:tc>
      </w:tr>
      <w:tr>
        <w:tblPrEx>
          <w:tblCellMar>
            <w:top w:w="0" w:type="dxa"/>
            <w:left w:w="0" w:type="dxa"/>
            <w:bottom w:w="0" w:type="dxa"/>
            <w:right w:w="0" w:type="dxa"/>
          </w:tblCellMar>
        </w:tblPrEx>
        <w:trPr>
          <w:trHeight w:val="450" w:hRule="atLeast"/>
        </w:trPr>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396"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209"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20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小计</w:t>
            </w:r>
          </w:p>
        </w:tc>
        <w:tc>
          <w:tcPr>
            <w:tcW w:w="2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一般公共预算</w:t>
            </w:r>
          </w:p>
        </w:tc>
        <w:tc>
          <w:tcPr>
            <w:tcW w:w="27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政府性基金预算</w:t>
            </w:r>
          </w:p>
        </w:tc>
        <w:tc>
          <w:tcPr>
            <w:tcW w:w="31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国有资本经营预算</w:t>
            </w:r>
          </w:p>
        </w:tc>
        <w:tc>
          <w:tcPr>
            <w:tcW w:w="31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财政专户管理资金</w:t>
            </w:r>
          </w:p>
        </w:tc>
        <w:tc>
          <w:tcPr>
            <w:tcW w:w="19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事业收入</w:t>
            </w:r>
          </w:p>
        </w:tc>
        <w:tc>
          <w:tcPr>
            <w:tcW w:w="24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事业单位经营收入</w:t>
            </w:r>
          </w:p>
        </w:tc>
        <w:tc>
          <w:tcPr>
            <w:tcW w:w="241"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上级补助收入</w:t>
            </w:r>
          </w:p>
        </w:tc>
        <w:tc>
          <w:tcPr>
            <w:tcW w:w="23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附属单位上缴收入</w:t>
            </w:r>
          </w:p>
        </w:tc>
        <w:tc>
          <w:tcPr>
            <w:tcW w:w="1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其他收入</w:t>
            </w:r>
          </w:p>
        </w:tc>
        <w:tc>
          <w:tcPr>
            <w:tcW w:w="2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小计</w:t>
            </w:r>
          </w:p>
        </w:tc>
        <w:tc>
          <w:tcPr>
            <w:tcW w:w="27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一般公共预算</w:t>
            </w:r>
          </w:p>
        </w:tc>
        <w:tc>
          <w:tcPr>
            <w:tcW w:w="27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政府性基金预算</w:t>
            </w:r>
          </w:p>
        </w:tc>
        <w:tc>
          <w:tcPr>
            <w:tcW w:w="2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国有资本经营预算</w:t>
            </w:r>
          </w:p>
        </w:tc>
        <w:tc>
          <w:tcPr>
            <w:tcW w:w="28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财政专户管理资金</w:t>
            </w:r>
          </w:p>
        </w:tc>
        <w:tc>
          <w:tcPr>
            <w:tcW w:w="240"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单位资金</w:t>
            </w:r>
          </w:p>
        </w:tc>
      </w:tr>
      <w:tr>
        <w:tblPrEx>
          <w:tblCellMar>
            <w:top w:w="0" w:type="dxa"/>
            <w:left w:w="0" w:type="dxa"/>
            <w:bottom w:w="0" w:type="dxa"/>
            <w:right w:w="0" w:type="dxa"/>
          </w:tblCellMar>
        </w:tblPrEx>
        <w:trPr>
          <w:trHeight w:val="375" w:hRule="atLeast"/>
        </w:trPr>
        <w:tc>
          <w:tcPr>
            <w:tcW w:w="31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w:t>
            </w:r>
          </w:p>
        </w:tc>
        <w:tc>
          <w:tcPr>
            <w:tcW w:w="3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锡林郭勒盟民政局（部门）</w:t>
            </w:r>
          </w:p>
        </w:tc>
        <w:tc>
          <w:tcPr>
            <w:tcW w:w="20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12,916,242.41</w:t>
            </w:r>
          </w:p>
        </w:tc>
        <w:tc>
          <w:tcPr>
            <w:tcW w:w="20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12,043,791.60</w:t>
            </w:r>
          </w:p>
        </w:tc>
        <w:tc>
          <w:tcPr>
            <w:tcW w:w="2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6,643,791.60</w:t>
            </w:r>
          </w:p>
        </w:tc>
        <w:tc>
          <w:tcPr>
            <w:tcW w:w="27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950,000.00</w:t>
            </w:r>
          </w:p>
        </w:tc>
        <w:tc>
          <w:tcPr>
            <w:tcW w:w="31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1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4,450,000.00</w:t>
            </w:r>
          </w:p>
        </w:tc>
        <w:tc>
          <w:tcPr>
            <w:tcW w:w="24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241"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23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872,450.81</w:t>
            </w:r>
          </w:p>
        </w:tc>
        <w:tc>
          <w:tcPr>
            <w:tcW w:w="27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416,898.81</w:t>
            </w:r>
          </w:p>
        </w:tc>
        <w:tc>
          <w:tcPr>
            <w:tcW w:w="27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455,552.00</w:t>
            </w:r>
          </w:p>
        </w:tc>
        <w:tc>
          <w:tcPr>
            <w:tcW w:w="2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28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240"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31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3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w:t>
            </w:r>
          </w:p>
        </w:tc>
        <w:tc>
          <w:tcPr>
            <w:tcW w:w="3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3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锡林郭勒盟社会福利院</w:t>
            </w:r>
          </w:p>
        </w:tc>
        <w:tc>
          <w:tcPr>
            <w:tcW w:w="20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12,916,242.41</w:t>
            </w:r>
          </w:p>
        </w:tc>
        <w:tc>
          <w:tcPr>
            <w:tcW w:w="20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12,043,791.60</w:t>
            </w:r>
          </w:p>
        </w:tc>
        <w:tc>
          <w:tcPr>
            <w:tcW w:w="2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6,643,791.60</w:t>
            </w:r>
          </w:p>
        </w:tc>
        <w:tc>
          <w:tcPr>
            <w:tcW w:w="27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950,000.00</w:t>
            </w:r>
          </w:p>
        </w:tc>
        <w:tc>
          <w:tcPr>
            <w:tcW w:w="31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1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4,450,000.00</w:t>
            </w:r>
          </w:p>
        </w:tc>
        <w:tc>
          <w:tcPr>
            <w:tcW w:w="24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241"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23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872,450.81</w:t>
            </w:r>
          </w:p>
        </w:tc>
        <w:tc>
          <w:tcPr>
            <w:tcW w:w="27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416,898.81</w:t>
            </w:r>
          </w:p>
        </w:tc>
        <w:tc>
          <w:tcPr>
            <w:tcW w:w="27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455,552.00</w:t>
            </w:r>
          </w:p>
        </w:tc>
        <w:tc>
          <w:tcPr>
            <w:tcW w:w="2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28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240"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712" w:type="pct"/>
            <w:gridSpan w:val="2"/>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合计</w:t>
            </w:r>
          </w:p>
        </w:tc>
        <w:tc>
          <w:tcPr>
            <w:tcW w:w="20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12,916,242.41</w:t>
            </w:r>
          </w:p>
        </w:tc>
        <w:tc>
          <w:tcPr>
            <w:tcW w:w="20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12,043,791.60</w:t>
            </w:r>
          </w:p>
        </w:tc>
        <w:tc>
          <w:tcPr>
            <w:tcW w:w="2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6,643,791.60</w:t>
            </w:r>
          </w:p>
        </w:tc>
        <w:tc>
          <w:tcPr>
            <w:tcW w:w="27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950,000.00</w:t>
            </w:r>
          </w:p>
        </w:tc>
        <w:tc>
          <w:tcPr>
            <w:tcW w:w="31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4"/>
                <w:szCs w:val="24"/>
                <w:u w:val="none"/>
              </w:rPr>
            </w:pPr>
          </w:p>
        </w:tc>
        <w:tc>
          <w:tcPr>
            <w:tcW w:w="31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4"/>
                <w:szCs w:val="24"/>
                <w:u w:val="none"/>
              </w:rPr>
            </w:pPr>
          </w:p>
        </w:tc>
        <w:tc>
          <w:tcPr>
            <w:tcW w:w="19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4,450,000.00</w:t>
            </w:r>
          </w:p>
        </w:tc>
        <w:tc>
          <w:tcPr>
            <w:tcW w:w="24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4"/>
                <w:szCs w:val="24"/>
                <w:u w:val="none"/>
              </w:rPr>
            </w:pPr>
          </w:p>
        </w:tc>
        <w:tc>
          <w:tcPr>
            <w:tcW w:w="241"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4"/>
                <w:szCs w:val="24"/>
                <w:u w:val="none"/>
              </w:rPr>
            </w:pPr>
          </w:p>
        </w:tc>
        <w:tc>
          <w:tcPr>
            <w:tcW w:w="23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4"/>
                <w:szCs w:val="24"/>
                <w:u w:val="none"/>
              </w:rPr>
            </w:pPr>
          </w:p>
        </w:tc>
        <w:tc>
          <w:tcPr>
            <w:tcW w:w="1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4"/>
                <w:szCs w:val="24"/>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872,450.81</w:t>
            </w:r>
          </w:p>
        </w:tc>
        <w:tc>
          <w:tcPr>
            <w:tcW w:w="27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416,898.81</w:t>
            </w:r>
          </w:p>
        </w:tc>
        <w:tc>
          <w:tcPr>
            <w:tcW w:w="27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455,552.00</w:t>
            </w:r>
          </w:p>
        </w:tc>
        <w:tc>
          <w:tcPr>
            <w:tcW w:w="2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4"/>
                <w:szCs w:val="24"/>
                <w:u w:val="none"/>
              </w:rPr>
            </w:pPr>
          </w:p>
        </w:tc>
        <w:tc>
          <w:tcPr>
            <w:tcW w:w="28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4"/>
                <w:szCs w:val="24"/>
                <w:u w:val="none"/>
              </w:rPr>
            </w:pPr>
          </w:p>
        </w:tc>
        <w:tc>
          <w:tcPr>
            <w:tcW w:w="240"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4"/>
                <w:szCs w:val="24"/>
                <w:u w:val="none"/>
              </w:rPr>
            </w:pPr>
          </w:p>
        </w:tc>
      </w:tr>
    </w:tbl>
    <w:p>
      <w:pPr>
        <w:pStyle w:val="2"/>
        <w:ind w:left="0" w:leftChars="0" w:firstLine="0" w:firstLineChars="0"/>
        <w:rPr>
          <w:rFonts w:hint="eastAsia" w:ascii="宋体" w:hAnsi="宋体" w:eastAsia="宋体" w:cs="宋体"/>
          <w:b w:val="0"/>
          <w:bCs w:val="0"/>
          <w:sz w:val="30"/>
          <w:szCs w:val="30"/>
        </w:rPr>
      </w:pPr>
    </w:p>
    <w:p>
      <w:pPr>
        <w:pStyle w:val="2"/>
        <w:ind w:left="0" w:leftChars="0" w:firstLine="0" w:firstLineChars="0"/>
        <w:rPr>
          <w:rFonts w:hint="eastAsia" w:ascii="宋体" w:hAnsi="宋体" w:eastAsia="宋体" w:cs="宋体"/>
          <w:b w:val="0"/>
          <w:bCs w:val="0"/>
          <w:sz w:val="30"/>
          <w:szCs w:val="30"/>
        </w:rPr>
      </w:pPr>
    </w:p>
    <w:p>
      <w:pPr>
        <w:pStyle w:val="2"/>
        <w:ind w:left="0" w:leftChars="0" w:firstLine="0" w:firstLineChars="0"/>
        <w:rPr>
          <w:rFonts w:hint="eastAsia" w:ascii="宋体" w:hAnsi="宋体" w:eastAsia="宋体" w:cs="宋体"/>
          <w:b w:val="0"/>
          <w:bCs w:val="0"/>
          <w:sz w:val="30"/>
          <w:szCs w:val="30"/>
        </w:rPr>
      </w:pPr>
    </w:p>
    <w:tbl>
      <w:tblPr>
        <w:tblStyle w:val="19"/>
        <w:tblW w:w="5000" w:type="pct"/>
        <w:tblInd w:w="0" w:type="dxa"/>
        <w:shd w:val="clear" w:color="auto" w:fill="auto"/>
        <w:tblLayout w:type="autofit"/>
        <w:tblCellMar>
          <w:top w:w="0" w:type="dxa"/>
          <w:left w:w="0" w:type="dxa"/>
          <w:bottom w:w="0" w:type="dxa"/>
          <w:right w:w="0" w:type="dxa"/>
        </w:tblCellMar>
      </w:tblPr>
      <w:tblGrid>
        <w:gridCol w:w="1077"/>
        <w:gridCol w:w="3733"/>
        <w:gridCol w:w="1397"/>
        <w:gridCol w:w="1397"/>
        <w:gridCol w:w="1292"/>
        <w:gridCol w:w="2125"/>
        <w:gridCol w:w="1602"/>
        <w:gridCol w:w="2387"/>
      </w:tblGrid>
      <w:tr>
        <w:tblPrEx>
          <w:shd w:val="clear" w:color="auto" w:fill="auto"/>
          <w:tblCellMar>
            <w:top w:w="0" w:type="dxa"/>
            <w:left w:w="0" w:type="dxa"/>
            <w:bottom w:w="0" w:type="dxa"/>
            <w:right w:w="0" w:type="dxa"/>
          </w:tblCellMar>
        </w:tblPrEx>
        <w:trPr>
          <w:trHeight w:val="375" w:hRule="atLeast"/>
        </w:trPr>
        <w:tc>
          <w:tcPr>
            <w:tcW w:w="5000" w:type="pct"/>
            <w:gridSpan w:val="8"/>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32"/>
                <w:szCs w:val="32"/>
                <w:u w:val="none"/>
              </w:rPr>
            </w:pPr>
            <w:r>
              <w:rPr>
                <w:rFonts w:hint="eastAsia" w:ascii="宋体" w:hAnsi="宋体" w:eastAsia="宋体" w:cs="宋体"/>
                <w:b/>
                <w:i w:val="0"/>
                <w:color w:val="000000"/>
                <w:kern w:val="0"/>
                <w:sz w:val="32"/>
                <w:szCs w:val="32"/>
                <w:u w:val="none"/>
                <w:lang w:val="en-US" w:eastAsia="zh-CN" w:bidi="ar"/>
              </w:rPr>
              <w:t>表3</w:t>
            </w:r>
          </w:p>
        </w:tc>
      </w:tr>
      <w:tr>
        <w:tblPrEx>
          <w:tblCellMar>
            <w:top w:w="0" w:type="dxa"/>
            <w:left w:w="0" w:type="dxa"/>
            <w:bottom w:w="0" w:type="dxa"/>
            <w:right w:w="0" w:type="dxa"/>
          </w:tblCellMar>
        </w:tblPrEx>
        <w:trPr>
          <w:trHeight w:val="900" w:hRule="atLeast"/>
        </w:trPr>
        <w:tc>
          <w:tcPr>
            <w:tcW w:w="5000" w:type="pct"/>
            <w:gridSpan w:val="8"/>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6"/>
                <w:szCs w:val="36"/>
                <w:u w:val="none"/>
              </w:rPr>
            </w:pPr>
            <w:r>
              <w:rPr>
                <w:rFonts w:hint="eastAsia" w:ascii="宋体" w:hAnsi="宋体" w:eastAsia="宋体" w:cs="宋体"/>
                <w:b/>
                <w:i w:val="0"/>
                <w:color w:val="000000"/>
                <w:kern w:val="0"/>
                <w:sz w:val="36"/>
                <w:szCs w:val="36"/>
                <w:u w:val="none"/>
                <w:lang w:val="en-US" w:eastAsia="zh-CN" w:bidi="ar"/>
              </w:rPr>
              <w:t>支出总表</w:t>
            </w:r>
          </w:p>
        </w:tc>
      </w:tr>
      <w:tr>
        <w:tblPrEx>
          <w:tblCellMar>
            <w:top w:w="0" w:type="dxa"/>
            <w:left w:w="0" w:type="dxa"/>
            <w:bottom w:w="0" w:type="dxa"/>
            <w:right w:w="0" w:type="dxa"/>
          </w:tblCellMar>
        </w:tblPrEx>
        <w:trPr>
          <w:trHeight w:val="360" w:hRule="atLeast"/>
        </w:trPr>
        <w:tc>
          <w:tcPr>
            <w:tcW w:w="358"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1244"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465"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465"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429"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707"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532"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796" w:type="pc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单位：元</w:t>
            </w:r>
          </w:p>
        </w:tc>
      </w:tr>
      <w:tr>
        <w:tblPrEx>
          <w:tblCellMar>
            <w:top w:w="0" w:type="dxa"/>
            <w:left w:w="0" w:type="dxa"/>
            <w:bottom w:w="0" w:type="dxa"/>
            <w:right w:w="0" w:type="dxa"/>
          </w:tblCellMar>
        </w:tblPrEx>
        <w:trPr>
          <w:trHeight w:val="600" w:hRule="atLeast"/>
        </w:trPr>
        <w:tc>
          <w:tcPr>
            <w:tcW w:w="3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科目编码</w:t>
            </w:r>
          </w:p>
        </w:tc>
        <w:tc>
          <w:tcPr>
            <w:tcW w:w="124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科目名称</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合计</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基本支出</w:t>
            </w:r>
          </w:p>
        </w:tc>
        <w:tc>
          <w:tcPr>
            <w:tcW w:w="42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项目支出</w:t>
            </w:r>
          </w:p>
        </w:tc>
        <w:tc>
          <w:tcPr>
            <w:tcW w:w="7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事业单位经营支出</w:t>
            </w:r>
          </w:p>
        </w:tc>
        <w:tc>
          <w:tcPr>
            <w:tcW w:w="53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上缴上级支出</w:t>
            </w:r>
          </w:p>
        </w:tc>
        <w:tc>
          <w:tcPr>
            <w:tcW w:w="7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对附属单位补助支出</w:t>
            </w:r>
          </w:p>
        </w:tc>
      </w:tr>
      <w:tr>
        <w:tblPrEx>
          <w:tblCellMar>
            <w:top w:w="0" w:type="dxa"/>
            <w:left w:w="0" w:type="dxa"/>
            <w:bottom w:w="0" w:type="dxa"/>
            <w:right w:w="0" w:type="dxa"/>
          </w:tblCellMar>
        </w:tblPrEx>
        <w:trPr>
          <w:trHeight w:val="525" w:hRule="atLeast"/>
        </w:trPr>
        <w:tc>
          <w:tcPr>
            <w:tcW w:w="3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205</w:t>
            </w:r>
          </w:p>
        </w:tc>
        <w:tc>
          <w:tcPr>
            <w:tcW w:w="124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教育支出</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150,000.00</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150,000.00</w:t>
            </w:r>
          </w:p>
        </w:tc>
        <w:tc>
          <w:tcPr>
            <w:tcW w:w="42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20508</w:t>
            </w:r>
          </w:p>
        </w:tc>
        <w:tc>
          <w:tcPr>
            <w:tcW w:w="124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进修及培训</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150,000.00</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150,000.00</w:t>
            </w:r>
          </w:p>
        </w:tc>
        <w:tc>
          <w:tcPr>
            <w:tcW w:w="42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2050803</w:t>
            </w:r>
          </w:p>
        </w:tc>
        <w:tc>
          <w:tcPr>
            <w:tcW w:w="124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2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培训支出</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150,000.00</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150,000.00</w:t>
            </w:r>
          </w:p>
        </w:tc>
        <w:tc>
          <w:tcPr>
            <w:tcW w:w="42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208</w:t>
            </w:r>
          </w:p>
        </w:tc>
        <w:tc>
          <w:tcPr>
            <w:tcW w:w="124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社会保障和就业支出</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11,034,064.41</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9,545,765.60</w:t>
            </w:r>
          </w:p>
        </w:tc>
        <w:tc>
          <w:tcPr>
            <w:tcW w:w="42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1,488,298.81</w:t>
            </w:r>
          </w:p>
        </w:tc>
        <w:tc>
          <w:tcPr>
            <w:tcW w:w="7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20805</w:t>
            </w:r>
          </w:p>
        </w:tc>
        <w:tc>
          <w:tcPr>
            <w:tcW w:w="124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行政事业单位养老支出</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361,490.60</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361,490.60</w:t>
            </w:r>
          </w:p>
        </w:tc>
        <w:tc>
          <w:tcPr>
            <w:tcW w:w="42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2080502</w:t>
            </w:r>
          </w:p>
        </w:tc>
        <w:tc>
          <w:tcPr>
            <w:tcW w:w="124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2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事业单位离退休</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158,229.60</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158,229.60</w:t>
            </w:r>
          </w:p>
        </w:tc>
        <w:tc>
          <w:tcPr>
            <w:tcW w:w="42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2080505</w:t>
            </w:r>
          </w:p>
        </w:tc>
        <w:tc>
          <w:tcPr>
            <w:tcW w:w="124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2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机关事业单位基本养老保险缴费支出</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203,261.00</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203,261.00</w:t>
            </w:r>
          </w:p>
        </w:tc>
        <w:tc>
          <w:tcPr>
            <w:tcW w:w="42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20810</w:t>
            </w:r>
          </w:p>
        </w:tc>
        <w:tc>
          <w:tcPr>
            <w:tcW w:w="124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社会福利</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9,764,635.00</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9,184,275.00</w:t>
            </w:r>
          </w:p>
        </w:tc>
        <w:tc>
          <w:tcPr>
            <w:tcW w:w="42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580,360.00</w:t>
            </w:r>
          </w:p>
        </w:tc>
        <w:tc>
          <w:tcPr>
            <w:tcW w:w="7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2081005</w:t>
            </w:r>
          </w:p>
        </w:tc>
        <w:tc>
          <w:tcPr>
            <w:tcW w:w="124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2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社会福利事业单位</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9,595,675.00</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9,184,275.00</w:t>
            </w:r>
          </w:p>
        </w:tc>
        <w:tc>
          <w:tcPr>
            <w:tcW w:w="42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411,400.00</w:t>
            </w:r>
          </w:p>
        </w:tc>
        <w:tc>
          <w:tcPr>
            <w:tcW w:w="7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2081006</w:t>
            </w:r>
          </w:p>
        </w:tc>
        <w:tc>
          <w:tcPr>
            <w:tcW w:w="124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2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养老服务</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168,960.00</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42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168,960.00</w:t>
            </w:r>
          </w:p>
        </w:tc>
        <w:tc>
          <w:tcPr>
            <w:tcW w:w="7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20821</w:t>
            </w:r>
          </w:p>
        </w:tc>
        <w:tc>
          <w:tcPr>
            <w:tcW w:w="124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特困人员救助供养</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907,938.81</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42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907,938.81</w:t>
            </w:r>
          </w:p>
        </w:tc>
        <w:tc>
          <w:tcPr>
            <w:tcW w:w="7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2082101</w:t>
            </w:r>
          </w:p>
        </w:tc>
        <w:tc>
          <w:tcPr>
            <w:tcW w:w="124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2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城市特困人员救助供养支出</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907,938.81</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42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907,938.81</w:t>
            </w:r>
          </w:p>
        </w:tc>
        <w:tc>
          <w:tcPr>
            <w:tcW w:w="7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210</w:t>
            </w:r>
          </w:p>
        </w:tc>
        <w:tc>
          <w:tcPr>
            <w:tcW w:w="124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卫生健康支出</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102,001.00</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102,001.00</w:t>
            </w:r>
          </w:p>
        </w:tc>
        <w:tc>
          <w:tcPr>
            <w:tcW w:w="42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21011</w:t>
            </w:r>
          </w:p>
        </w:tc>
        <w:tc>
          <w:tcPr>
            <w:tcW w:w="124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行政事业单位医疗</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102,001.00</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102,001.00</w:t>
            </w:r>
          </w:p>
        </w:tc>
        <w:tc>
          <w:tcPr>
            <w:tcW w:w="42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2101102</w:t>
            </w:r>
          </w:p>
        </w:tc>
        <w:tc>
          <w:tcPr>
            <w:tcW w:w="124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2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事业单位医疗</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77,277.00</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77,277.00</w:t>
            </w:r>
          </w:p>
        </w:tc>
        <w:tc>
          <w:tcPr>
            <w:tcW w:w="42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2101103</w:t>
            </w:r>
          </w:p>
        </w:tc>
        <w:tc>
          <w:tcPr>
            <w:tcW w:w="124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2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公务员医疗补助</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24,724.00</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24,724.00</w:t>
            </w:r>
          </w:p>
        </w:tc>
        <w:tc>
          <w:tcPr>
            <w:tcW w:w="42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221</w:t>
            </w:r>
          </w:p>
        </w:tc>
        <w:tc>
          <w:tcPr>
            <w:tcW w:w="124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住房保障支出</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224,625.00</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224,625.00</w:t>
            </w:r>
          </w:p>
        </w:tc>
        <w:tc>
          <w:tcPr>
            <w:tcW w:w="42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22102</w:t>
            </w:r>
          </w:p>
        </w:tc>
        <w:tc>
          <w:tcPr>
            <w:tcW w:w="124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住房改革支出</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224,625.00</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224,625.00</w:t>
            </w:r>
          </w:p>
        </w:tc>
        <w:tc>
          <w:tcPr>
            <w:tcW w:w="42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2210201</w:t>
            </w:r>
          </w:p>
        </w:tc>
        <w:tc>
          <w:tcPr>
            <w:tcW w:w="124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2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住房公积金</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196,785.00</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196,785.00</w:t>
            </w:r>
          </w:p>
        </w:tc>
        <w:tc>
          <w:tcPr>
            <w:tcW w:w="42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2210203</w:t>
            </w:r>
          </w:p>
        </w:tc>
        <w:tc>
          <w:tcPr>
            <w:tcW w:w="124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2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购房补贴</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27,840.00</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27,840.00</w:t>
            </w:r>
          </w:p>
        </w:tc>
        <w:tc>
          <w:tcPr>
            <w:tcW w:w="42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229</w:t>
            </w:r>
          </w:p>
        </w:tc>
        <w:tc>
          <w:tcPr>
            <w:tcW w:w="124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其他支出</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1,405,552.00</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42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1,405,552.00</w:t>
            </w:r>
          </w:p>
        </w:tc>
        <w:tc>
          <w:tcPr>
            <w:tcW w:w="7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22960</w:t>
            </w:r>
          </w:p>
        </w:tc>
        <w:tc>
          <w:tcPr>
            <w:tcW w:w="124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彩票公益金安排的支出</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1,405,552.00</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42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1,405,552.00</w:t>
            </w:r>
          </w:p>
        </w:tc>
        <w:tc>
          <w:tcPr>
            <w:tcW w:w="7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2296002</w:t>
            </w:r>
          </w:p>
        </w:tc>
        <w:tc>
          <w:tcPr>
            <w:tcW w:w="124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2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用于社会福利的彩票公益金支出</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1,405,552.00</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42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1,405,552.00</w:t>
            </w:r>
          </w:p>
        </w:tc>
        <w:tc>
          <w:tcPr>
            <w:tcW w:w="7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1602" w:type="pct"/>
            <w:gridSpan w:val="2"/>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合计</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12,916,242.41</w:t>
            </w:r>
          </w:p>
        </w:tc>
        <w:tc>
          <w:tcPr>
            <w:tcW w:w="4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10,022,391.60</w:t>
            </w:r>
          </w:p>
        </w:tc>
        <w:tc>
          <w:tcPr>
            <w:tcW w:w="42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2,893,850.81</w:t>
            </w:r>
          </w:p>
        </w:tc>
        <w:tc>
          <w:tcPr>
            <w:tcW w:w="7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4"/>
                <w:szCs w:val="24"/>
                <w:u w:val="none"/>
              </w:rPr>
            </w:pPr>
          </w:p>
        </w:tc>
        <w:tc>
          <w:tcPr>
            <w:tcW w:w="7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4"/>
                <w:szCs w:val="24"/>
                <w:u w:val="none"/>
              </w:rPr>
            </w:pPr>
          </w:p>
        </w:tc>
      </w:tr>
    </w:tbl>
    <w:p>
      <w:pPr>
        <w:pStyle w:val="2"/>
        <w:ind w:left="0" w:leftChars="0" w:firstLine="0" w:firstLineChars="0"/>
        <w:rPr>
          <w:rFonts w:hint="eastAsia" w:ascii="宋体" w:hAnsi="宋体" w:eastAsia="宋体" w:cs="宋体"/>
          <w:b w:val="0"/>
          <w:bCs w:val="0"/>
          <w:sz w:val="30"/>
          <w:szCs w:val="30"/>
        </w:rPr>
      </w:pPr>
    </w:p>
    <w:p>
      <w:pPr>
        <w:pStyle w:val="2"/>
        <w:ind w:left="0" w:leftChars="0" w:firstLine="0" w:firstLineChars="0"/>
        <w:rPr>
          <w:rFonts w:hint="eastAsia" w:ascii="宋体" w:hAnsi="宋体" w:eastAsia="宋体" w:cs="宋体"/>
          <w:b w:val="0"/>
          <w:bCs w:val="0"/>
          <w:sz w:val="30"/>
          <w:szCs w:val="30"/>
        </w:rPr>
      </w:pPr>
    </w:p>
    <w:p>
      <w:pPr>
        <w:pStyle w:val="2"/>
        <w:ind w:left="0" w:leftChars="0" w:firstLine="0" w:firstLineChars="0"/>
        <w:rPr>
          <w:rFonts w:hint="eastAsia" w:ascii="宋体" w:hAnsi="宋体" w:eastAsia="宋体" w:cs="宋体"/>
          <w:b w:val="0"/>
          <w:bCs w:val="0"/>
          <w:sz w:val="30"/>
          <w:szCs w:val="30"/>
        </w:rPr>
      </w:pPr>
    </w:p>
    <w:p>
      <w:pPr>
        <w:pStyle w:val="2"/>
        <w:ind w:left="0" w:leftChars="0" w:firstLine="0" w:firstLineChars="0"/>
        <w:rPr>
          <w:rFonts w:hint="eastAsia" w:ascii="宋体" w:hAnsi="宋体" w:eastAsia="宋体" w:cs="宋体"/>
          <w:b w:val="0"/>
          <w:bCs w:val="0"/>
          <w:sz w:val="30"/>
          <w:szCs w:val="30"/>
        </w:rPr>
      </w:pPr>
    </w:p>
    <w:tbl>
      <w:tblPr>
        <w:tblStyle w:val="19"/>
        <w:tblW w:w="5000" w:type="pct"/>
        <w:tblInd w:w="0" w:type="dxa"/>
        <w:shd w:val="clear" w:color="auto" w:fill="auto"/>
        <w:tblLayout w:type="autofit"/>
        <w:tblCellMar>
          <w:top w:w="0" w:type="dxa"/>
          <w:left w:w="0" w:type="dxa"/>
          <w:bottom w:w="0" w:type="dxa"/>
          <w:right w:w="0" w:type="dxa"/>
        </w:tblCellMar>
      </w:tblPr>
      <w:tblGrid>
        <w:gridCol w:w="4734"/>
        <w:gridCol w:w="2227"/>
        <w:gridCol w:w="5818"/>
        <w:gridCol w:w="2231"/>
      </w:tblGrid>
      <w:tr>
        <w:tblPrEx>
          <w:shd w:val="clear" w:color="auto" w:fill="auto"/>
          <w:tblCellMar>
            <w:top w:w="0" w:type="dxa"/>
            <w:left w:w="0" w:type="dxa"/>
            <w:bottom w:w="0" w:type="dxa"/>
            <w:right w:w="0" w:type="dxa"/>
          </w:tblCellMar>
        </w:tblPrEx>
        <w:trPr>
          <w:trHeight w:val="375" w:hRule="atLeast"/>
        </w:trPr>
        <w:tc>
          <w:tcPr>
            <w:tcW w:w="5000" w:type="pct"/>
            <w:gridSpan w:val="4"/>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32"/>
                <w:szCs w:val="32"/>
                <w:u w:val="none"/>
              </w:rPr>
            </w:pPr>
            <w:r>
              <w:rPr>
                <w:rFonts w:hint="eastAsia" w:ascii="宋体" w:hAnsi="宋体" w:eastAsia="宋体" w:cs="宋体"/>
                <w:b/>
                <w:i w:val="0"/>
                <w:color w:val="000000"/>
                <w:kern w:val="0"/>
                <w:sz w:val="32"/>
                <w:szCs w:val="32"/>
                <w:u w:val="none"/>
                <w:lang w:val="en-US" w:eastAsia="zh-CN" w:bidi="ar"/>
              </w:rPr>
              <w:t>表4</w:t>
            </w:r>
          </w:p>
        </w:tc>
      </w:tr>
      <w:tr>
        <w:tblPrEx>
          <w:tblCellMar>
            <w:top w:w="0" w:type="dxa"/>
            <w:left w:w="0" w:type="dxa"/>
            <w:bottom w:w="0" w:type="dxa"/>
            <w:right w:w="0" w:type="dxa"/>
          </w:tblCellMar>
        </w:tblPrEx>
        <w:trPr>
          <w:trHeight w:val="900" w:hRule="atLeast"/>
        </w:trPr>
        <w:tc>
          <w:tcPr>
            <w:tcW w:w="5000" w:type="pct"/>
            <w:gridSpan w:val="4"/>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6"/>
                <w:szCs w:val="36"/>
                <w:u w:val="none"/>
              </w:rPr>
            </w:pPr>
            <w:r>
              <w:rPr>
                <w:rFonts w:hint="eastAsia" w:ascii="宋体" w:hAnsi="宋体" w:eastAsia="宋体" w:cs="宋体"/>
                <w:b/>
                <w:i w:val="0"/>
                <w:color w:val="000000"/>
                <w:kern w:val="0"/>
                <w:sz w:val="36"/>
                <w:szCs w:val="36"/>
                <w:u w:val="none"/>
                <w:lang w:val="en-US" w:eastAsia="zh-CN" w:bidi="ar"/>
              </w:rPr>
              <w:t>财政拨款收支总表</w:t>
            </w:r>
          </w:p>
        </w:tc>
      </w:tr>
      <w:tr>
        <w:tblPrEx>
          <w:tblCellMar>
            <w:top w:w="0" w:type="dxa"/>
            <w:left w:w="0" w:type="dxa"/>
            <w:bottom w:w="0" w:type="dxa"/>
            <w:right w:w="0" w:type="dxa"/>
          </w:tblCellMar>
        </w:tblPrEx>
        <w:trPr>
          <w:trHeight w:val="330" w:hRule="atLeast"/>
        </w:trPr>
        <w:tc>
          <w:tcPr>
            <w:tcW w:w="1577"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742"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1938"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742" w:type="pc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单位：元</w:t>
            </w:r>
          </w:p>
        </w:tc>
      </w:tr>
      <w:tr>
        <w:tblPrEx>
          <w:tblCellMar>
            <w:top w:w="0" w:type="dxa"/>
            <w:left w:w="0" w:type="dxa"/>
            <w:bottom w:w="0" w:type="dxa"/>
            <w:right w:w="0" w:type="dxa"/>
          </w:tblCellMar>
        </w:tblPrEx>
        <w:trPr>
          <w:trHeight w:val="450" w:hRule="atLeast"/>
        </w:trPr>
        <w:tc>
          <w:tcPr>
            <w:tcW w:w="2319" w:type="pct"/>
            <w:gridSpan w:val="2"/>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收      入</w:t>
            </w:r>
          </w:p>
        </w:tc>
        <w:tc>
          <w:tcPr>
            <w:tcW w:w="2680" w:type="pct"/>
            <w:gridSpan w:val="2"/>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支      出</w:t>
            </w:r>
          </w:p>
        </w:tc>
      </w:tr>
      <w:tr>
        <w:tblPrEx>
          <w:tblCellMar>
            <w:top w:w="0" w:type="dxa"/>
            <w:left w:w="0" w:type="dxa"/>
            <w:bottom w:w="0" w:type="dxa"/>
            <w:right w:w="0" w:type="dxa"/>
          </w:tblCellMar>
        </w:tblPrEx>
        <w:trPr>
          <w:trHeight w:val="450"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项目</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预算数</w:t>
            </w: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项目</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预算数</w:t>
            </w: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一、本年收入</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7,593,791.60</w:t>
            </w: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一、本年支出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8,466,242.41</w:t>
            </w: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（一）一般公共预算拨款</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6,643,791.60</w:t>
            </w: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（一）一般公共服务支出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（二）政府性基金预算拨款</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950,000.00</w:t>
            </w: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（二）外交支出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（三）国有资本经营预算拨款</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（三）国防支出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二、上年结转</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872,450.81</w:t>
            </w: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（四）公共安全支出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（一）一般公共预算拨款</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416,898.81</w:t>
            </w: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（五）教育支出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（二）政府性基金预算拨款</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455,552.00</w:t>
            </w: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（六）科学技术支出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（三）国有资本经营预算拨款</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（七）文化体育旅游与传媒支出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（八）社会保障和就业支出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6,734,064.41</w:t>
            </w: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（九）社会保险基金支出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（十）卫生健康支出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102,001.00</w:t>
            </w: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（十一）节能环保支出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（十二）城市社区支出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（十三）农林水支出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（十四）交通运输支出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（十五）资源勘探工业信息等支出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（十六）商业服务业等支出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（十七）金融支出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（十八）援助其他地区支出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（十九）自然资源海洋气象等支出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（二十）住房保障支出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224,625.00</w:t>
            </w: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（二十一）粮油物资储备支出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（二十二）国有资本经营预算支出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（二十三）灾害防治及应急管理支出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（二十四）预备费</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（二十五）其他支出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1,405,552.00</w:t>
            </w: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（二十六）转移性支付</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（二十七）债务还本支出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（二十八）债务付息支出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（二十九）债务发行费用支出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（三十）抗疫特别国债还本支出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（三十一）与中央财政往来性支出</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二、年终结转结余</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75" w:hRule="atLeast"/>
        </w:trPr>
        <w:tc>
          <w:tcPr>
            <w:tcW w:w="15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收    入    总    计</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8,466,242.41</w:t>
            </w:r>
          </w:p>
        </w:tc>
        <w:tc>
          <w:tcPr>
            <w:tcW w:w="193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支    出    总    计</w:t>
            </w:r>
          </w:p>
        </w:tc>
        <w:tc>
          <w:tcPr>
            <w:tcW w:w="7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8,466,242.41</w:t>
            </w:r>
          </w:p>
        </w:tc>
      </w:tr>
    </w:tbl>
    <w:p>
      <w:pPr>
        <w:pStyle w:val="2"/>
        <w:ind w:left="0" w:leftChars="0" w:firstLine="0" w:firstLineChars="0"/>
        <w:rPr>
          <w:rFonts w:hint="eastAsia" w:ascii="宋体" w:hAnsi="宋体" w:eastAsia="宋体" w:cs="宋体"/>
          <w:b w:val="0"/>
          <w:bCs w:val="0"/>
          <w:sz w:val="30"/>
          <w:szCs w:val="30"/>
        </w:rPr>
      </w:pPr>
    </w:p>
    <w:p>
      <w:pPr>
        <w:pStyle w:val="2"/>
        <w:ind w:left="0" w:leftChars="0" w:firstLine="0" w:firstLineChars="0"/>
        <w:rPr>
          <w:rFonts w:hint="eastAsia" w:ascii="宋体" w:hAnsi="宋体" w:eastAsia="宋体" w:cs="宋体"/>
          <w:b w:val="0"/>
          <w:bCs w:val="0"/>
          <w:sz w:val="30"/>
          <w:szCs w:val="30"/>
        </w:rPr>
      </w:pPr>
    </w:p>
    <w:p>
      <w:pPr>
        <w:pStyle w:val="2"/>
        <w:ind w:left="0" w:leftChars="0" w:firstLine="0" w:firstLineChars="0"/>
        <w:rPr>
          <w:rFonts w:hint="eastAsia" w:ascii="宋体" w:hAnsi="宋体" w:eastAsia="宋体" w:cs="宋体"/>
          <w:b w:val="0"/>
          <w:bCs w:val="0"/>
          <w:sz w:val="30"/>
          <w:szCs w:val="30"/>
        </w:rPr>
      </w:pPr>
    </w:p>
    <w:p>
      <w:pPr>
        <w:pStyle w:val="2"/>
        <w:ind w:left="0" w:leftChars="0" w:firstLine="0" w:firstLineChars="0"/>
        <w:rPr>
          <w:rFonts w:hint="eastAsia" w:ascii="宋体" w:hAnsi="宋体" w:eastAsia="宋体" w:cs="宋体"/>
          <w:b w:val="0"/>
          <w:bCs w:val="0"/>
          <w:sz w:val="30"/>
          <w:szCs w:val="30"/>
        </w:rPr>
      </w:pPr>
    </w:p>
    <w:p>
      <w:pPr>
        <w:pStyle w:val="2"/>
        <w:ind w:left="0" w:leftChars="0" w:firstLine="0" w:firstLineChars="0"/>
        <w:rPr>
          <w:rFonts w:hint="eastAsia" w:ascii="宋体" w:hAnsi="宋体" w:eastAsia="宋体" w:cs="宋体"/>
          <w:b w:val="0"/>
          <w:bCs w:val="0"/>
          <w:sz w:val="30"/>
          <w:szCs w:val="30"/>
        </w:rPr>
      </w:pPr>
    </w:p>
    <w:tbl>
      <w:tblPr>
        <w:tblStyle w:val="19"/>
        <w:tblW w:w="5000" w:type="pct"/>
        <w:tblInd w:w="0" w:type="dxa"/>
        <w:shd w:val="clear" w:color="auto" w:fill="auto"/>
        <w:tblLayout w:type="autofit"/>
        <w:tblCellMar>
          <w:top w:w="0" w:type="dxa"/>
          <w:left w:w="0" w:type="dxa"/>
          <w:bottom w:w="0" w:type="dxa"/>
          <w:right w:w="0" w:type="dxa"/>
        </w:tblCellMar>
      </w:tblPr>
      <w:tblGrid>
        <w:gridCol w:w="1432"/>
        <w:gridCol w:w="4977"/>
        <w:gridCol w:w="1717"/>
        <w:gridCol w:w="1717"/>
        <w:gridCol w:w="1717"/>
        <w:gridCol w:w="1720"/>
        <w:gridCol w:w="1730"/>
      </w:tblGrid>
      <w:tr>
        <w:tblPrEx>
          <w:shd w:val="clear" w:color="auto" w:fill="auto"/>
          <w:tblCellMar>
            <w:top w:w="0" w:type="dxa"/>
            <w:left w:w="0" w:type="dxa"/>
            <w:bottom w:w="0" w:type="dxa"/>
            <w:right w:w="0" w:type="dxa"/>
          </w:tblCellMar>
        </w:tblPrEx>
        <w:trPr>
          <w:trHeight w:val="375" w:hRule="atLeast"/>
        </w:trPr>
        <w:tc>
          <w:tcPr>
            <w:tcW w:w="5000" w:type="pct"/>
            <w:gridSpan w:val="7"/>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32"/>
                <w:szCs w:val="32"/>
                <w:u w:val="none"/>
              </w:rPr>
            </w:pPr>
            <w:r>
              <w:rPr>
                <w:rFonts w:hint="eastAsia" w:ascii="宋体" w:hAnsi="宋体" w:eastAsia="宋体" w:cs="宋体"/>
                <w:b/>
                <w:i w:val="0"/>
                <w:color w:val="000000"/>
                <w:kern w:val="0"/>
                <w:sz w:val="32"/>
                <w:szCs w:val="32"/>
                <w:u w:val="none"/>
                <w:lang w:val="en-US" w:eastAsia="zh-CN" w:bidi="ar"/>
              </w:rPr>
              <w:t>表5</w:t>
            </w:r>
          </w:p>
        </w:tc>
      </w:tr>
      <w:tr>
        <w:tblPrEx>
          <w:tblCellMar>
            <w:top w:w="0" w:type="dxa"/>
            <w:left w:w="0" w:type="dxa"/>
            <w:bottom w:w="0" w:type="dxa"/>
            <w:right w:w="0" w:type="dxa"/>
          </w:tblCellMar>
        </w:tblPrEx>
        <w:trPr>
          <w:trHeight w:val="900" w:hRule="atLeast"/>
        </w:trPr>
        <w:tc>
          <w:tcPr>
            <w:tcW w:w="5000" w:type="pct"/>
            <w:gridSpan w:val="7"/>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6"/>
                <w:szCs w:val="36"/>
                <w:u w:val="none"/>
              </w:rPr>
            </w:pPr>
            <w:r>
              <w:rPr>
                <w:rFonts w:hint="eastAsia" w:ascii="宋体" w:hAnsi="宋体" w:eastAsia="宋体" w:cs="宋体"/>
                <w:b/>
                <w:i w:val="0"/>
                <w:color w:val="000000"/>
                <w:kern w:val="0"/>
                <w:sz w:val="36"/>
                <w:szCs w:val="36"/>
                <w:u w:val="none"/>
                <w:lang w:val="en-US" w:eastAsia="zh-CN" w:bidi="ar"/>
              </w:rPr>
              <w:t>一般公共预算支出表</w:t>
            </w:r>
          </w:p>
        </w:tc>
      </w:tr>
      <w:tr>
        <w:tblPrEx>
          <w:tblCellMar>
            <w:top w:w="0" w:type="dxa"/>
            <w:left w:w="0" w:type="dxa"/>
            <w:bottom w:w="0" w:type="dxa"/>
            <w:right w:w="0" w:type="dxa"/>
          </w:tblCellMar>
        </w:tblPrEx>
        <w:trPr>
          <w:trHeight w:val="345" w:hRule="atLeast"/>
        </w:trPr>
        <w:tc>
          <w:tcPr>
            <w:tcW w:w="477"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1658"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572"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572"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572"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572"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573" w:type="pc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单位：元</w:t>
            </w:r>
          </w:p>
        </w:tc>
      </w:tr>
      <w:tr>
        <w:tblPrEx>
          <w:tblCellMar>
            <w:top w:w="0" w:type="dxa"/>
            <w:left w:w="0" w:type="dxa"/>
            <w:bottom w:w="0" w:type="dxa"/>
            <w:right w:w="0" w:type="dxa"/>
          </w:tblCellMar>
        </w:tblPrEx>
        <w:trPr>
          <w:trHeight w:val="450" w:hRule="atLeast"/>
        </w:trPr>
        <w:tc>
          <w:tcPr>
            <w:tcW w:w="477"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科目编码</w:t>
            </w:r>
          </w:p>
        </w:tc>
        <w:tc>
          <w:tcPr>
            <w:tcW w:w="1658"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科目名称</w:t>
            </w:r>
          </w:p>
        </w:tc>
        <w:tc>
          <w:tcPr>
            <w:tcW w:w="572"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合计</w:t>
            </w:r>
          </w:p>
        </w:tc>
        <w:tc>
          <w:tcPr>
            <w:tcW w:w="1717" w:type="pct"/>
            <w:gridSpan w:val="3"/>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基本支出</w:t>
            </w:r>
          </w:p>
        </w:tc>
        <w:tc>
          <w:tcPr>
            <w:tcW w:w="573"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项目支出</w:t>
            </w:r>
          </w:p>
        </w:tc>
      </w:tr>
      <w:tr>
        <w:tblPrEx>
          <w:tblCellMar>
            <w:top w:w="0" w:type="dxa"/>
            <w:left w:w="0" w:type="dxa"/>
            <w:bottom w:w="0" w:type="dxa"/>
            <w:right w:w="0" w:type="dxa"/>
          </w:tblCellMar>
        </w:tblPrEx>
        <w:trPr>
          <w:trHeight w:val="450" w:hRule="atLeast"/>
        </w:trPr>
        <w:tc>
          <w:tcPr>
            <w:tcW w:w="477"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1658"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572"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小计</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人员经费</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公用经费</w:t>
            </w:r>
          </w:p>
        </w:tc>
        <w:tc>
          <w:tcPr>
            <w:tcW w:w="573"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r>
      <w:tr>
        <w:tblPrEx>
          <w:tblCellMar>
            <w:top w:w="0" w:type="dxa"/>
            <w:left w:w="0" w:type="dxa"/>
            <w:bottom w:w="0" w:type="dxa"/>
            <w:right w:w="0" w:type="dxa"/>
          </w:tblCellMar>
        </w:tblPrEx>
        <w:trPr>
          <w:trHeight w:val="525" w:hRule="atLeast"/>
        </w:trPr>
        <w:tc>
          <w:tcPr>
            <w:tcW w:w="4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208</w:t>
            </w:r>
          </w:p>
        </w:tc>
        <w:tc>
          <w:tcPr>
            <w:tcW w:w="16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社会保障和就业支出</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6,734,064.41</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5,245,765.60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3,985,867.60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1,259,898.00</w:t>
            </w:r>
          </w:p>
        </w:tc>
        <w:tc>
          <w:tcPr>
            <w:tcW w:w="57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1,488,298.81</w:t>
            </w:r>
          </w:p>
        </w:tc>
      </w:tr>
      <w:tr>
        <w:tblPrEx>
          <w:tblCellMar>
            <w:top w:w="0" w:type="dxa"/>
            <w:left w:w="0" w:type="dxa"/>
            <w:bottom w:w="0" w:type="dxa"/>
            <w:right w:w="0" w:type="dxa"/>
          </w:tblCellMar>
        </w:tblPrEx>
        <w:trPr>
          <w:trHeight w:val="525" w:hRule="atLeast"/>
        </w:trPr>
        <w:tc>
          <w:tcPr>
            <w:tcW w:w="4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20805</w:t>
            </w:r>
          </w:p>
        </w:tc>
        <w:tc>
          <w:tcPr>
            <w:tcW w:w="16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行政事业单位养老支出</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361,490.60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361,490.60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361,490.60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7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4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2080502</w:t>
            </w:r>
          </w:p>
        </w:tc>
        <w:tc>
          <w:tcPr>
            <w:tcW w:w="16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2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事业单位离退休</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158,229.60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158,229.60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158,229.60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7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4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2080505</w:t>
            </w:r>
          </w:p>
        </w:tc>
        <w:tc>
          <w:tcPr>
            <w:tcW w:w="16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2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机关事业单位基本养老保险缴费支出</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203,261.00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203,261.00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203,261.00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7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4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20810</w:t>
            </w:r>
          </w:p>
        </w:tc>
        <w:tc>
          <w:tcPr>
            <w:tcW w:w="16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社会福利</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5,464,635.00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4,884,275.00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3,624,377.00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1,259,898.00</w:t>
            </w:r>
          </w:p>
        </w:tc>
        <w:tc>
          <w:tcPr>
            <w:tcW w:w="57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580,360.00</w:t>
            </w:r>
          </w:p>
        </w:tc>
      </w:tr>
      <w:tr>
        <w:tblPrEx>
          <w:tblCellMar>
            <w:top w:w="0" w:type="dxa"/>
            <w:left w:w="0" w:type="dxa"/>
            <w:bottom w:w="0" w:type="dxa"/>
            <w:right w:w="0" w:type="dxa"/>
          </w:tblCellMar>
        </w:tblPrEx>
        <w:trPr>
          <w:trHeight w:val="525" w:hRule="atLeast"/>
        </w:trPr>
        <w:tc>
          <w:tcPr>
            <w:tcW w:w="4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2081005</w:t>
            </w:r>
          </w:p>
        </w:tc>
        <w:tc>
          <w:tcPr>
            <w:tcW w:w="16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2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社会福利事业单位</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5,295,675.00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4,884,275.00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3,624,377.00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1,259,898.00</w:t>
            </w:r>
          </w:p>
        </w:tc>
        <w:tc>
          <w:tcPr>
            <w:tcW w:w="57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411,400.00</w:t>
            </w:r>
          </w:p>
        </w:tc>
      </w:tr>
      <w:tr>
        <w:tblPrEx>
          <w:tblCellMar>
            <w:top w:w="0" w:type="dxa"/>
            <w:left w:w="0" w:type="dxa"/>
            <w:bottom w:w="0" w:type="dxa"/>
            <w:right w:w="0" w:type="dxa"/>
          </w:tblCellMar>
        </w:tblPrEx>
        <w:trPr>
          <w:trHeight w:val="525" w:hRule="atLeast"/>
        </w:trPr>
        <w:tc>
          <w:tcPr>
            <w:tcW w:w="4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2081006</w:t>
            </w:r>
          </w:p>
        </w:tc>
        <w:tc>
          <w:tcPr>
            <w:tcW w:w="16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2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养老服务</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168,960.00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7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168,960.00</w:t>
            </w:r>
          </w:p>
        </w:tc>
      </w:tr>
      <w:tr>
        <w:tblPrEx>
          <w:tblCellMar>
            <w:top w:w="0" w:type="dxa"/>
            <w:left w:w="0" w:type="dxa"/>
            <w:bottom w:w="0" w:type="dxa"/>
            <w:right w:w="0" w:type="dxa"/>
          </w:tblCellMar>
        </w:tblPrEx>
        <w:trPr>
          <w:trHeight w:val="525" w:hRule="atLeast"/>
        </w:trPr>
        <w:tc>
          <w:tcPr>
            <w:tcW w:w="4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20821</w:t>
            </w:r>
          </w:p>
        </w:tc>
        <w:tc>
          <w:tcPr>
            <w:tcW w:w="16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特困人员救助供养</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907,938.81</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7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907,938.81</w:t>
            </w:r>
          </w:p>
        </w:tc>
      </w:tr>
      <w:tr>
        <w:tblPrEx>
          <w:tblCellMar>
            <w:top w:w="0" w:type="dxa"/>
            <w:left w:w="0" w:type="dxa"/>
            <w:bottom w:w="0" w:type="dxa"/>
            <w:right w:w="0" w:type="dxa"/>
          </w:tblCellMar>
        </w:tblPrEx>
        <w:trPr>
          <w:trHeight w:val="525" w:hRule="atLeast"/>
        </w:trPr>
        <w:tc>
          <w:tcPr>
            <w:tcW w:w="4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2082101</w:t>
            </w:r>
          </w:p>
        </w:tc>
        <w:tc>
          <w:tcPr>
            <w:tcW w:w="16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2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城市特困人员救助供养支出</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907,938.81</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7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907,938.81</w:t>
            </w:r>
          </w:p>
        </w:tc>
      </w:tr>
      <w:tr>
        <w:tblPrEx>
          <w:tblCellMar>
            <w:top w:w="0" w:type="dxa"/>
            <w:left w:w="0" w:type="dxa"/>
            <w:bottom w:w="0" w:type="dxa"/>
            <w:right w:w="0" w:type="dxa"/>
          </w:tblCellMar>
        </w:tblPrEx>
        <w:trPr>
          <w:trHeight w:val="525" w:hRule="atLeast"/>
        </w:trPr>
        <w:tc>
          <w:tcPr>
            <w:tcW w:w="4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210</w:t>
            </w:r>
          </w:p>
        </w:tc>
        <w:tc>
          <w:tcPr>
            <w:tcW w:w="16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卫生健康支出</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102,001.00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102,001.00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102,001.00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7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4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21011</w:t>
            </w:r>
          </w:p>
        </w:tc>
        <w:tc>
          <w:tcPr>
            <w:tcW w:w="16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行政事业单位医疗</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102,001.00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102,001.00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102,001.00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7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4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2101102</w:t>
            </w:r>
          </w:p>
        </w:tc>
        <w:tc>
          <w:tcPr>
            <w:tcW w:w="16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2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事业单位医疗</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77,277.00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77,277.00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77,277.00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7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4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2101103</w:t>
            </w:r>
          </w:p>
        </w:tc>
        <w:tc>
          <w:tcPr>
            <w:tcW w:w="16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2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公务员医疗补助</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24,724.00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24,724.00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24,724.00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7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4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221</w:t>
            </w:r>
          </w:p>
        </w:tc>
        <w:tc>
          <w:tcPr>
            <w:tcW w:w="16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住房保障支出</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224,625.00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224,625.00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224,625.00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7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4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22102</w:t>
            </w:r>
          </w:p>
        </w:tc>
        <w:tc>
          <w:tcPr>
            <w:tcW w:w="16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住房改革支出</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224,625.00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224,625.00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224,625.00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7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4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2210201</w:t>
            </w:r>
          </w:p>
        </w:tc>
        <w:tc>
          <w:tcPr>
            <w:tcW w:w="16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2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住房公积金</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196,785.00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196,785.00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196,785.00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7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47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2210203</w:t>
            </w:r>
          </w:p>
        </w:tc>
        <w:tc>
          <w:tcPr>
            <w:tcW w:w="165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2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购房补贴</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27,840.00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27,840.00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27,840.00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57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2135" w:type="pct"/>
            <w:gridSpan w:val="2"/>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合      计</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7,060,690.41</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5,572,391.60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4,312,493.60</w:t>
            </w:r>
          </w:p>
        </w:tc>
        <w:tc>
          <w:tcPr>
            <w:tcW w:w="57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1,259,898.00</w:t>
            </w:r>
          </w:p>
        </w:tc>
        <w:tc>
          <w:tcPr>
            <w:tcW w:w="57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1,488,298.81</w:t>
            </w:r>
          </w:p>
        </w:tc>
      </w:tr>
    </w:tbl>
    <w:p>
      <w:pPr>
        <w:pStyle w:val="2"/>
        <w:ind w:left="0" w:leftChars="0" w:firstLine="0" w:firstLineChars="0"/>
        <w:rPr>
          <w:rFonts w:hint="eastAsia" w:ascii="宋体" w:hAnsi="宋体" w:eastAsia="宋体" w:cs="宋体"/>
          <w:b w:val="0"/>
          <w:bCs w:val="0"/>
          <w:sz w:val="30"/>
          <w:szCs w:val="30"/>
        </w:rPr>
      </w:pPr>
    </w:p>
    <w:p>
      <w:pPr>
        <w:pStyle w:val="2"/>
        <w:ind w:left="0" w:leftChars="0" w:firstLine="0" w:firstLineChars="0"/>
        <w:rPr>
          <w:rFonts w:hint="eastAsia" w:ascii="宋体" w:hAnsi="宋体" w:eastAsia="宋体" w:cs="宋体"/>
          <w:b w:val="0"/>
          <w:bCs w:val="0"/>
          <w:sz w:val="30"/>
          <w:szCs w:val="30"/>
        </w:rPr>
      </w:pPr>
    </w:p>
    <w:p>
      <w:pPr>
        <w:pStyle w:val="2"/>
        <w:ind w:left="0" w:leftChars="0" w:firstLine="0" w:firstLineChars="0"/>
        <w:rPr>
          <w:rFonts w:hint="eastAsia" w:ascii="宋体" w:hAnsi="宋体" w:eastAsia="宋体" w:cs="宋体"/>
          <w:b w:val="0"/>
          <w:bCs w:val="0"/>
          <w:sz w:val="30"/>
          <w:szCs w:val="30"/>
        </w:rPr>
      </w:pPr>
    </w:p>
    <w:tbl>
      <w:tblPr>
        <w:tblStyle w:val="19"/>
        <w:tblW w:w="5000" w:type="pct"/>
        <w:tblInd w:w="0" w:type="dxa"/>
        <w:shd w:val="clear" w:color="auto" w:fill="auto"/>
        <w:tblLayout w:type="autofit"/>
        <w:tblCellMar>
          <w:top w:w="0" w:type="dxa"/>
          <w:left w:w="0" w:type="dxa"/>
          <w:bottom w:w="0" w:type="dxa"/>
          <w:right w:w="0" w:type="dxa"/>
        </w:tblCellMar>
      </w:tblPr>
      <w:tblGrid>
        <w:gridCol w:w="1995"/>
        <w:gridCol w:w="5821"/>
        <w:gridCol w:w="2396"/>
        <w:gridCol w:w="2396"/>
        <w:gridCol w:w="2402"/>
      </w:tblGrid>
      <w:tr>
        <w:tblPrEx>
          <w:shd w:val="clear" w:color="auto" w:fill="auto"/>
          <w:tblCellMar>
            <w:top w:w="0" w:type="dxa"/>
            <w:left w:w="0" w:type="dxa"/>
            <w:bottom w:w="0" w:type="dxa"/>
            <w:right w:w="0" w:type="dxa"/>
          </w:tblCellMar>
        </w:tblPrEx>
        <w:trPr>
          <w:trHeight w:val="375" w:hRule="atLeast"/>
        </w:trPr>
        <w:tc>
          <w:tcPr>
            <w:tcW w:w="5000" w:type="pct"/>
            <w:gridSpan w:val="5"/>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32"/>
                <w:szCs w:val="32"/>
                <w:u w:val="none"/>
              </w:rPr>
            </w:pPr>
            <w:r>
              <w:rPr>
                <w:rFonts w:hint="eastAsia" w:ascii="宋体" w:hAnsi="宋体" w:eastAsia="宋体" w:cs="宋体"/>
                <w:b/>
                <w:i w:val="0"/>
                <w:color w:val="000000"/>
                <w:kern w:val="0"/>
                <w:sz w:val="32"/>
                <w:szCs w:val="32"/>
                <w:u w:val="none"/>
                <w:lang w:val="en-US" w:eastAsia="zh-CN" w:bidi="ar"/>
              </w:rPr>
              <w:t>表6</w:t>
            </w:r>
          </w:p>
        </w:tc>
      </w:tr>
      <w:tr>
        <w:tblPrEx>
          <w:tblCellMar>
            <w:top w:w="0" w:type="dxa"/>
            <w:left w:w="0" w:type="dxa"/>
            <w:bottom w:w="0" w:type="dxa"/>
            <w:right w:w="0" w:type="dxa"/>
          </w:tblCellMar>
        </w:tblPrEx>
        <w:trPr>
          <w:trHeight w:val="900" w:hRule="atLeast"/>
        </w:trPr>
        <w:tc>
          <w:tcPr>
            <w:tcW w:w="5000" w:type="pct"/>
            <w:gridSpan w:val="5"/>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6"/>
                <w:szCs w:val="36"/>
                <w:u w:val="none"/>
              </w:rPr>
            </w:pPr>
            <w:r>
              <w:rPr>
                <w:rFonts w:hint="eastAsia" w:ascii="宋体" w:hAnsi="宋体" w:eastAsia="宋体" w:cs="宋体"/>
                <w:b/>
                <w:i w:val="0"/>
                <w:color w:val="000000"/>
                <w:kern w:val="0"/>
                <w:sz w:val="36"/>
                <w:szCs w:val="36"/>
                <w:u w:val="none"/>
                <w:lang w:val="en-US" w:eastAsia="zh-CN" w:bidi="ar"/>
              </w:rPr>
              <w:t>一般公共预算基本支出表</w:t>
            </w:r>
          </w:p>
        </w:tc>
      </w:tr>
      <w:tr>
        <w:tblPrEx>
          <w:tblCellMar>
            <w:top w:w="0" w:type="dxa"/>
            <w:left w:w="0" w:type="dxa"/>
            <w:bottom w:w="0" w:type="dxa"/>
            <w:right w:w="0" w:type="dxa"/>
          </w:tblCellMar>
        </w:tblPrEx>
        <w:trPr>
          <w:trHeight w:val="360" w:hRule="atLeast"/>
        </w:trPr>
        <w:tc>
          <w:tcPr>
            <w:tcW w:w="665"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1939"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798"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798"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799" w:type="pc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单位：元</w:t>
            </w:r>
          </w:p>
        </w:tc>
      </w:tr>
      <w:tr>
        <w:tblPrEx>
          <w:tblCellMar>
            <w:top w:w="0" w:type="dxa"/>
            <w:left w:w="0" w:type="dxa"/>
            <w:bottom w:w="0" w:type="dxa"/>
            <w:right w:w="0" w:type="dxa"/>
          </w:tblCellMar>
        </w:tblPrEx>
        <w:trPr>
          <w:trHeight w:val="450" w:hRule="atLeast"/>
        </w:trPr>
        <w:tc>
          <w:tcPr>
            <w:tcW w:w="2604" w:type="pct"/>
            <w:gridSpan w:val="2"/>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部门预算支出经济分类科目</w:t>
            </w:r>
          </w:p>
        </w:tc>
        <w:tc>
          <w:tcPr>
            <w:tcW w:w="2395" w:type="pct"/>
            <w:gridSpan w:val="3"/>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本年一般公共预算基本支出</w:t>
            </w:r>
          </w:p>
        </w:tc>
      </w:tr>
      <w:tr>
        <w:tblPrEx>
          <w:tblCellMar>
            <w:top w:w="0" w:type="dxa"/>
            <w:left w:w="0" w:type="dxa"/>
            <w:bottom w:w="0" w:type="dxa"/>
            <w:right w:w="0" w:type="dxa"/>
          </w:tblCellMar>
        </w:tblPrEx>
        <w:trPr>
          <w:trHeight w:val="450"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科目编码</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科目名称</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合计</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人员经费</w:t>
            </w: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公用经费</w:t>
            </w:r>
          </w:p>
        </w:tc>
      </w:tr>
      <w:tr>
        <w:tblPrEx>
          <w:tblCellMar>
            <w:top w:w="0" w:type="dxa"/>
            <w:left w:w="0" w:type="dxa"/>
            <w:bottom w:w="0" w:type="dxa"/>
            <w:right w:w="0" w:type="dxa"/>
          </w:tblCellMar>
        </w:tblPrEx>
        <w:trPr>
          <w:trHeight w:val="52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301</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工资福利支出</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3,250,808.00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3,250,808.00</w:t>
            </w: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30101</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基本工资</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612,144.00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612,144.00</w:t>
            </w: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30102</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津贴补贴</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241,596.00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241,596.00</w:t>
            </w: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30103</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奖金</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155,880.00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155,880.00</w:t>
            </w: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30107</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绩效工资</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479,580.00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479,580.00</w:t>
            </w: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30108</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机关事业单位基本养老保险缴费</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203,261.00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203,261.00</w:t>
            </w: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30110</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职工基本医疗保险缴费</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77,277.00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77,277.00</w:t>
            </w: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30111</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公务员医疗补助缴费</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24,724.00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24,724.00</w:t>
            </w: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30112</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其他社会保障缴费</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8,893.00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8,893.00</w:t>
            </w: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30113</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住房公积金</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196,785.00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196,785.00</w:t>
            </w: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30199</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其他工资福利支出</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1,250,668.00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1,250,668.00</w:t>
            </w: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302</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商品和服务支出</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1,259,898.00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1,259,898.00</w:t>
            </w:r>
          </w:p>
        </w:tc>
      </w:tr>
      <w:tr>
        <w:tblPrEx>
          <w:tblCellMar>
            <w:top w:w="0" w:type="dxa"/>
            <w:left w:w="0" w:type="dxa"/>
            <w:bottom w:w="0" w:type="dxa"/>
            <w:right w:w="0" w:type="dxa"/>
          </w:tblCellMar>
        </w:tblPrEx>
        <w:trPr>
          <w:trHeight w:val="52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30201</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办公费</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20,200.00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20,200.00</w:t>
            </w:r>
          </w:p>
        </w:tc>
      </w:tr>
      <w:tr>
        <w:tblPrEx>
          <w:tblCellMar>
            <w:top w:w="0" w:type="dxa"/>
            <w:left w:w="0" w:type="dxa"/>
            <w:bottom w:w="0" w:type="dxa"/>
            <w:right w:w="0" w:type="dxa"/>
          </w:tblCellMar>
        </w:tblPrEx>
        <w:trPr>
          <w:trHeight w:val="52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30202</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印刷费</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5,000.00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5,000.00</w:t>
            </w:r>
          </w:p>
        </w:tc>
      </w:tr>
      <w:tr>
        <w:tblPrEx>
          <w:tblCellMar>
            <w:top w:w="0" w:type="dxa"/>
            <w:left w:w="0" w:type="dxa"/>
            <w:bottom w:w="0" w:type="dxa"/>
            <w:right w:w="0" w:type="dxa"/>
          </w:tblCellMar>
        </w:tblPrEx>
        <w:trPr>
          <w:trHeight w:val="52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30205</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水费</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30,000.00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30,000.00</w:t>
            </w:r>
          </w:p>
        </w:tc>
      </w:tr>
      <w:tr>
        <w:tblPrEx>
          <w:tblCellMar>
            <w:top w:w="0" w:type="dxa"/>
            <w:left w:w="0" w:type="dxa"/>
            <w:bottom w:w="0" w:type="dxa"/>
            <w:right w:w="0" w:type="dxa"/>
          </w:tblCellMar>
        </w:tblPrEx>
        <w:trPr>
          <w:trHeight w:val="52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30206</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电费</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120,000.00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120,000.00</w:t>
            </w:r>
          </w:p>
        </w:tc>
      </w:tr>
      <w:tr>
        <w:tblPrEx>
          <w:tblCellMar>
            <w:top w:w="0" w:type="dxa"/>
            <w:left w:w="0" w:type="dxa"/>
            <w:bottom w:w="0" w:type="dxa"/>
            <w:right w:w="0" w:type="dxa"/>
          </w:tblCellMar>
        </w:tblPrEx>
        <w:trPr>
          <w:trHeight w:val="52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30207</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邮电费</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10,000.00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10,000.00</w:t>
            </w:r>
          </w:p>
        </w:tc>
      </w:tr>
      <w:tr>
        <w:tblPrEx>
          <w:tblCellMar>
            <w:top w:w="0" w:type="dxa"/>
            <w:left w:w="0" w:type="dxa"/>
            <w:bottom w:w="0" w:type="dxa"/>
            <w:right w:w="0" w:type="dxa"/>
          </w:tblCellMar>
        </w:tblPrEx>
        <w:trPr>
          <w:trHeight w:val="52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30208</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取暖费</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385,000.00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385,000.00</w:t>
            </w:r>
          </w:p>
        </w:tc>
      </w:tr>
      <w:tr>
        <w:tblPrEx>
          <w:tblCellMar>
            <w:top w:w="0" w:type="dxa"/>
            <w:left w:w="0" w:type="dxa"/>
            <w:bottom w:w="0" w:type="dxa"/>
            <w:right w:w="0" w:type="dxa"/>
          </w:tblCellMar>
        </w:tblPrEx>
        <w:trPr>
          <w:trHeight w:val="52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30209</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物业管理费</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610,000.00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610,000.00</w:t>
            </w:r>
          </w:p>
        </w:tc>
      </w:tr>
      <w:tr>
        <w:tblPrEx>
          <w:tblCellMar>
            <w:top w:w="0" w:type="dxa"/>
            <w:left w:w="0" w:type="dxa"/>
            <w:bottom w:w="0" w:type="dxa"/>
            <w:right w:w="0" w:type="dxa"/>
          </w:tblCellMar>
        </w:tblPrEx>
        <w:trPr>
          <w:trHeight w:val="52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30228</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工会经费</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32,798.00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32,798.00</w:t>
            </w:r>
          </w:p>
        </w:tc>
      </w:tr>
      <w:tr>
        <w:tblPrEx>
          <w:tblCellMar>
            <w:top w:w="0" w:type="dxa"/>
            <w:left w:w="0" w:type="dxa"/>
            <w:bottom w:w="0" w:type="dxa"/>
            <w:right w:w="0" w:type="dxa"/>
          </w:tblCellMar>
        </w:tblPrEx>
        <w:trPr>
          <w:trHeight w:val="52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30229</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福利费</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38,900.00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38,900.00</w:t>
            </w:r>
          </w:p>
        </w:tc>
      </w:tr>
      <w:tr>
        <w:tblPrEx>
          <w:tblCellMar>
            <w:top w:w="0" w:type="dxa"/>
            <w:left w:w="0" w:type="dxa"/>
            <w:bottom w:w="0" w:type="dxa"/>
            <w:right w:w="0" w:type="dxa"/>
          </w:tblCellMar>
        </w:tblPrEx>
        <w:trPr>
          <w:trHeight w:val="52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30231</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公务用车运行维护费</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8,000.00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8,000.00</w:t>
            </w:r>
          </w:p>
        </w:tc>
      </w:tr>
      <w:tr>
        <w:tblPrEx>
          <w:tblCellMar>
            <w:top w:w="0" w:type="dxa"/>
            <w:left w:w="0" w:type="dxa"/>
            <w:bottom w:w="0" w:type="dxa"/>
            <w:right w:w="0" w:type="dxa"/>
          </w:tblCellMar>
        </w:tblPrEx>
        <w:trPr>
          <w:trHeight w:val="52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303</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对个人和家庭的补助</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1,061,685.60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1,061,685.60</w:t>
            </w: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30302</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退休费</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158,229.60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158,229.60</w:t>
            </w: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30305</w:t>
            </w:r>
          </w:p>
        </w:tc>
        <w:tc>
          <w:tcPr>
            <w:tcW w:w="1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生活补助</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903,456.00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903,456.00</w:t>
            </w: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2604" w:type="pct"/>
            <w:gridSpan w:val="2"/>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合      计</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5,572,391.60</w:t>
            </w:r>
          </w:p>
        </w:tc>
        <w:tc>
          <w:tcPr>
            <w:tcW w:w="7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4,312,493.60</w:t>
            </w:r>
          </w:p>
        </w:tc>
        <w:tc>
          <w:tcPr>
            <w:tcW w:w="79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1,259,898.00</w:t>
            </w:r>
          </w:p>
        </w:tc>
      </w:tr>
    </w:tbl>
    <w:p>
      <w:pPr>
        <w:pStyle w:val="2"/>
        <w:ind w:left="0" w:leftChars="0" w:firstLine="0" w:firstLineChars="0"/>
        <w:rPr>
          <w:rFonts w:hint="eastAsia" w:ascii="宋体" w:hAnsi="宋体" w:eastAsia="宋体" w:cs="宋体"/>
          <w:b w:val="0"/>
          <w:bCs w:val="0"/>
          <w:sz w:val="30"/>
          <w:szCs w:val="30"/>
        </w:rPr>
      </w:pPr>
    </w:p>
    <w:tbl>
      <w:tblPr>
        <w:tblStyle w:val="19"/>
        <w:tblW w:w="5000" w:type="pct"/>
        <w:tblInd w:w="0" w:type="dxa"/>
        <w:shd w:val="clear" w:color="auto" w:fill="auto"/>
        <w:tblLayout w:type="autofit"/>
        <w:tblCellMar>
          <w:top w:w="0" w:type="dxa"/>
          <w:left w:w="0" w:type="dxa"/>
          <w:bottom w:w="0" w:type="dxa"/>
          <w:right w:w="0" w:type="dxa"/>
        </w:tblCellMar>
      </w:tblPr>
      <w:tblGrid>
        <w:gridCol w:w="1091"/>
        <w:gridCol w:w="859"/>
        <w:gridCol w:w="859"/>
        <w:gridCol w:w="344"/>
        <w:gridCol w:w="859"/>
        <w:gridCol w:w="1096"/>
        <w:gridCol w:w="622"/>
        <w:gridCol w:w="859"/>
        <w:gridCol w:w="859"/>
        <w:gridCol w:w="344"/>
        <w:gridCol w:w="859"/>
        <w:gridCol w:w="1096"/>
        <w:gridCol w:w="622"/>
        <w:gridCol w:w="859"/>
        <w:gridCol w:w="859"/>
        <w:gridCol w:w="344"/>
        <w:gridCol w:w="859"/>
        <w:gridCol w:w="1097"/>
        <w:gridCol w:w="623"/>
      </w:tblGrid>
      <w:tr>
        <w:tblPrEx>
          <w:shd w:val="clear" w:color="auto" w:fill="auto"/>
          <w:tblCellMar>
            <w:top w:w="0" w:type="dxa"/>
            <w:left w:w="0" w:type="dxa"/>
            <w:bottom w:w="0" w:type="dxa"/>
            <w:right w:w="0" w:type="dxa"/>
          </w:tblCellMar>
        </w:tblPrEx>
        <w:trPr>
          <w:trHeight w:val="375" w:hRule="atLeast"/>
        </w:trPr>
        <w:tc>
          <w:tcPr>
            <w:tcW w:w="5000" w:type="pct"/>
            <w:gridSpan w:val="19"/>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32"/>
                <w:szCs w:val="32"/>
                <w:u w:val="none"/>
              </w:rPr>
            </w:pPr>
            <w:r>
              <w:rPr>
                <w:rFonts w:hint="eastAsia" w:ascii="宋体" w:hAnsi="宋体" w:eastAsia="宋体" w:cs="宋体"/>
                <w:b/>
                <w:i w:val="0"/>
                <w:color w:val="000000"/>
                <w:kern w:val="0"/>
                <w:sz w:val="32"/>
                <w:szCs w:val="32"/>
                <w:u w:val="none"/>
                <w:lang w:val="en-US" w:eastAsia="zh-CN" w:bidi="ar"/>
              </w:rPr>
              <w:t>表7</w:t>
            </w:r>
          </w:p>
        </w:tc>
      </w:tr>
      <w:tr>
        <w:tblPrEx>
          <w:tblCellMar>
            <w:top w:w="0" w:type="dxa"/>
            <w:left w:w="0" w:type="dxa"/>
            <w:bottom w:w="0" w:type="dxa"/>
            <w:right w:w="0" w:type="dxa"/>
          </w:tblCellMar>
        </w:tblPrEx>
        <w:trPr>
          <w:trHeight w:val="900" w:hRule="atLeast"/>
        </w:trPr>
        <w:tc>
          <w:tcPr>
            <w:tcW w:w="5000" w:type="pct"/>
            <w:gridSpan w:val="19"/>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6"/>
                <w:szCs w:val="36"/>
                <w:u w:val="none"/>
              </w:rPr>
            </w:pPr>
            <w:r>
              <w:rPr>
                <w:rFonts w:hint="eastAsia" w:ascii="宋体" w:hAnsi="宋体" w:eastAsia="宋体" w:cs="宋体"/>
                <w:b/>
                <w:i w:val="0"/>
                <w:color w:val="000000"/>
                <w:kern w:val="0"/>
                <w:sz w:val="36"/>
                <w:szCs w:val="36"/>
                <w:u w:val="none"/>
                <w:lang w:val="en-US" w:eastAsia="zh-CN" w:bidi="ar"/>
              </w:rPr>
              <w:t>一般公共预算“三公”经费支出表</w:t>
            </w:r>
          </w:p>
        </w:tc>
      </w:tr>
      <w:tr>
        <w:tblPrEx>
          <w:tblCellMar>
            <w:top w:w="0" w:type="dxa"/>
            <w:left w:w="0" w:type="dxa"/>
            <w:bottom w:w="0" w:type="dxa"/>
            <w:right w:w="0" w:type="dxa"/>
          </w:tblCellMar>
        </w:tblPrEx>
        <w:trPr>
          <w:trHeight w:val="330" w:hRule="atLeast"/>
        </w:trPr>
        <w:tc>
          <w:tcPr>
            <w:tcW w:w="363"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86"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86"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114"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86"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365"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07"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86"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86"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114"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86"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365"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07"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86"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86"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114"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86"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365"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07" w:type="pc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单位：元</w:t>
            </w:r>
          </w:p>
        </w:tc>
      </w:tr>
      <w:tr>
        <w:tblPrEx>
          <w:tblCellMar>
            <w:top w:w="0" w:type="dxa"/>
            <w:left w:w="0" w:type="dxa"/>
            <w:bottom w:w="0" w:type="dxa"/>
            <w:right w:w="0" w:type="dxa"/>
          </w:tblCellMar>
        </w:tblPrEx>
        <w:trPr>
          <w:trHeight w:val="525" w:hRule="atLeast"/>
        </w:trPr>
        <w:tc>
          <w:tcPr>
            <w:tcW w:w="363"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单位名称</w:t>
            </w:r>
          </w:p>
        </w:tc>
        <w:tc>
          <w:tcPr>
            <w:tcW w:w="1545" w:type="pct"/>
            <w:gridSpan w:val="6"/>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2024年预算数</w:t>
            </w:r>
          </w:p>
        </w:tc>
        <w:tc>
          <w:tcPr>
            <w:tcW w:w="1545" w:type="pct"/>
            <w:gridSpan w:val="6"/>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2024年执行数</w:t>
            </w:r>
          </w:p>
        </w:tc>
        <w:tc>
          <w:tcPr>
            <w:tcW w:w="1545" w:type="pct"/>
            <w:gridSpan w:val="6"/>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2025年预算数</w:t>
            </w:r>
          </w:p>
        </w:tc>
      </w:tr>
      <w:tr>
        <w:tblPrEx>
          <w:tblCellMar>
            <w:top w:w="0" w:type="dxa"/>
            <w:left w:w="0" w:type="dxa"/>
            <w:bottom w:w="0" w:type="dxa"/>
            <w:right w:w="0" w:type="dxa"/>
          </w:tblCellMar>
        </w:tblPrEx>
        <w:trPr>
          <w:trHeight w:val="465" w:hRule="atLeast"/>
        </w:trPr>
        <w:tc>
          <w:tcPr>
            <w:tcW w:w="363"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286"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"三公"经费合计</w:t>
            </w:r>
          </w:p>
        </w:tc>
        <w:tc>
          <w:tcPr>
            <w:tcW w:w="286"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因公出国(境)费</w:t>
            </w:r>
          </w:p>
        </w:tc>
        <w:tc>
          <w:tcPr>
            <w:tcW w:w="765" w:type="pct"/>
            <w:gridSpan w:val="3"/>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公务用车购置及运行费</w:t>
            </w:r>
          </w:p>
        </w:tc>
        <w:tc>
          <w:tcPr>
            <w:tcW w:w="207"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公务接待费</w:t>
            </w:r>
          </w:p>
        </w:tc>
        <w:tc>
          <w:tcPr>
            <w:tcW w:w="286"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"三公"经费合计</w:t>
            </w:r>
          </w:p>
        </w:tc>
        <w:tc>
          <w:tcPr>
            <w:tcW w:w="286"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因公出国(境)费</w:t>
            </w:r>
          </w:p>
        </w:tc>
        <w:tc>
          <w:tcPr>
            <w:tcW w:w="765" w:type="pct"/>
            <w:gridSpan w:val="3"/>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公务用车购置及运行费</w:t>
            </w:r>
          </w:p>
        </w:tc>
        <w:tc>
          <w:tcPr>
            <w:tcW w:w="207"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公务接待费</w:t>
            </w:r>
          </w:p>
        </w:tc>
        <w:tc>
          <w:tcPr>
            <w:tcW w:w="286"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"三公"经费合计</w:t>
            </w:r>
          </w:p>
        </w:tc>
        <w:tc>
          <w:tcPr>
            <w:tcW w:w="286"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因公出国(境)费</w:t>
            </w:r>
          </w:p>
        </w:tc>
        <w:tc>
          <w:tcPr>
            <w:tcW w:w="766" w:type="pct"/>
            <w:gridSpan w:val="3"/>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公务用车购置及运行费</w:t>
            </w:r>
          </w:p>
        </w:tc>
        <w:tc>
          <w:tcPr>
            <w:tcW w:w="207"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公务接待费</w:t>
            </w:r>
          </w:p>
        </w:tc>
      </w:tr>
      <w:tr>
        <w:tblPrEx>
          <w:tblCellMar>
            <w:top w:w="0" w:type="dxa"/>
            <w:left w:w="0" w:type="dxa"/>
            <w:bottom w:w="0" w:type="dxa"/>
            <w:right w:w="0" w:type="dxa"/>
          </w:tblCellMar>
        </w:tblPrEx>
        <w:trPr>
          <w:trHeight w:val="420" w:hRule="atLeast"/>
        </w:trPr>
        <w:tc>
          <w:tcPr>
            <w:tcW w:w="363"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286"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286"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11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小计</w:t>
            </w:r>
          </w:p>
        </w:tc>
        <w:tc>
          <w:tcPr>
            <w:tcW w:w="28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公务用车购置费</w:t>
            </w:r>
          </w:p>
        </w:tc>
        <w:tc>
          <w:tcPr>
            <w:tcW w:w="3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公务用车运行维护费</w:t>
            </w:r>
          </w:p>
        </w:tc>
        <w:tc>
          <w:tcPr>
            <w:tcW w:w="207"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286"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286"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11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小计</w:t>
            </w:r>
          </w:p>
        </w:tc>
        <w:tc>
          <w:tcPr>
            <w:tcW w:w="28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公务用车购置费</w:t>
            </w:r>
          </w:p>
        </w:tc>
        <w:tc>
          <w:tcPr>
            <w:tcW w:w="3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公务用车运行维护费</w:t>
            </w:r>
          </w:p>
        </w:tc>
        <w:tc>
          <w:tcPr>
            <w:tcW w:w="207"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286"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286"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11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小计</w:t>
            </w:r>
          </w:p>
        </w:tc>
        <w:tc>
          <w:tcPr>
            <w:tcW w:w="28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公务用车购置费</w:t>
            </w:r>
          </w:p>
        </w:tc>
        <w:tc>
          <w:tcPr>
            <w:tcW w:w="3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公务用车运行维护费</w:t>
            </w:r>
          </w:p>
        </w:tc>
        <w:tc>
          <w:tcPr>
            <w:tcW w:w="207"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r>
      <w:tr>
        <w:tblPrEx>
          <w:tblCellMar>
            <w:top w:w="0" w:type="dxa"/>
            <w:left w:w="0" w:type="dxa"/>
            <w:bottom w:w="0" w:type="dxa"/>
            <w:right w:w="0" w:type="dxa"/>
          </w:tblCellMar>
        </w:tblPrEx>
        <w:trPr>
          <w:trHeight w:val="615" w:hRule="atLeast"/>
        </w:trPr>
        <w:tc>
          <w:tcPr>
            <w:tcW w:w="36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607003-锡林郭勒盟社会福利院</w:t>
            </w:r>
          </w:p>
        </w:tc>
        <w:tc>
          <w:tcPr>
            <w:tcW w:w="28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8,000.00</w:t>
            </w:r>
          </w:p>
        </w:tc>
        <w:tc>
          <w:tcPr>
            <w:tcW w:w="28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1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8,000.00</w:t>
            </w:r>
          </w:p>
        </w:tc>
        <w:tc>
          <w:tcPr>
            <w:tcW w:w="28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8,000.00</w:t>
            </w:r>
          </w:p>
        </w:tc>
        <w:tc>
          <w:tcPr>
            <w:tcW w:w="2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8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7,923.63</w:t>
            </w:r>
          </w:p>
        </w:tc>
        <w:tc>
          <w:tcPr>
            <w:tcW w:w="28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1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7,923.63</w:t>
            </w:r>
          </w:p>
        </w:tc>
        <w:tc>
          <w:tcPr>
            <w:tcW w:w="28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7,923.63</w:t>
            </w:r>
          </w:p>
        </w:tc>
        <w:tc>
          <w:tcPr>
            <w:tcW w:w="2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8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8,000.00</w:t>
            </w:r>
          </w:p>
        </w:tc>
        <w:tc>
          <w:tcPr>
            <w:tcW w:w="28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1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8,000.00</w:t>
            </w:r>
          </w:p>
        </w:tc>
        <w:tc>
          <w:tcPr>
            <w:tcW w:w="28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8,000.00</w:t>
            </w:r>
          </w:p>
        </w:tc>
        <w:tc>
          <w:tcPr>
            <w:tcW w:w="2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bl>
    <w:p>
      <w:pPr>
        <w:pStyle w:val="2"/>
        <w:ind w:left="0" w:leftChars="0" w:firstLine="0" w:firstLineChars="0"/>
        <w:rPr>
          <w:rFonts w:hint="eastAsia" w:ascii="宋体" w:hAnsi="宋体" w:eastAsia="宋体" w:cs="宋体"/>
          <w:b w:val="0"/>
          <w:bCs w:val="0"/>
          <w:sz w:val="30"/>
          <w:szCs w:val="30"/>
        </w:rPr>
      </w:pPr>
    </w:p>
    <w:tbl>
      <w:tblPr>
        <w:tblStyle w:val="19"/>
        <w:tblW w:w="4998" w:type="pct"/>
        <w:tblInd w:w="0" w:type="dxa"/>
        <w:shd w:val="clear" w:color="auto" w:fill="auto"/>
        <w:tblLayout w:type="autofit"/>
        <w:tblCellMar>
          <w:top w:w="0" w:type="dxa"/>
          <w:left w:w="0" w:type="dxa"/>
          <w:bottom w:w="0" w:type="dxa"/>
          <w:right w:w="0" w:type="dxa"/>
        </w:tblCellMar>
      </w:tblPr>
      <w:tblGrid>
        <w:gridCol w:w="2724"/>
        <w:gridCol w:w="4096"/>
        <w:gridCol w:w="2725"/>
        <w:gridCol w:w="2725"/>
        <w:gridCol w:w="2734"/>
      </w:tblGrid>
      <w:tr>
        <w:tblPrEx>
          <w:tblCellMar>
            <w:top w:w="0" w:type="dxa"/>
            <w:left w:w="0" w:type="dxa"/>
            <w:bottom w:w="0" w:type="dxa"/>
            <w:right w:w="0" w:type="dxa"/>
          </w:tblCellMar>
        </w:tblPrEx>
        <w:trPr>
          <w:trHeight w:val="375" w:hRule="atLeast"/>
        </w:trPr>
        <w:tc>
          <w:tcPr>
            <w:tcW w:w="908" w:type="pc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32"/>
                <w:szCs w:val="32"/>
                <w:u w:val="none"/>
              </w:rPr>
            </w:pPr>
            <w:r>
              <w:rPr>
                <w:rFonts w:hint="eastAsia" w:ascii="宋体" w:hAnsi="宋体" w:eastAsia="宋体" w:cs="宋体"/>
                <w:b/>
                <w:i w:val="0"/>
                <w:color w:val="000000"/>
                <w:kern w:val="0"/>
                <w:sz w:val="32"/>
                <w:szCs w:val="32"/>
                <w:u w:val="none"/>
                <w:lang w:val="en-US" w:eastAsia="zh-CN" w:bidi="ar"/>
              </w:rPr>
              <w:t>表8</w:t>
            </w:r>
          </w:p>
        </w:tc>
        <w:tc>
          <w:tcPr>
            <w:tcW w:w="1364"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908"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908"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908"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900" w:hRule="atLeast"/>
        </w:trPr>
        <w:tc>
          <w:tcPr>
            <w:tcW w:w="5000" w:type="pct"/>
            <w:gridSpan w:val="5"/>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6"/>
                <w:szCs w:val="36"/>
                <w:u w:val="none"/>
              </w:rPr>
            </w:pPr>
            <w:r>
              <w:rPr>
                <w:rFonts w:hint="eastAsia" w:ascii="宋体" w:hAnsi="宋体" w:eastAsia="宋体" w:cs="宋体"/>
                <w:b/>
                <w:i w:val="0"/>
                <w:color w:val="000000"/>
                <w:kern w:val="0"/>
                <w:sz w:val="36"/>
                <w:szCs w:val="36"/>
                <w:u w:val="none"/>
                <w:lang w:val="en-US" w:eastAsia="zh-CN" w:bidi="ar"/>
              </w:rPr>
              <w:t>政府性基金预算支出表</w:t>
            </w:r>
          </w:p>
        </w:tc>
      </w:tr>
      <w:tr>
        <w:tblPrEx>
          <w:tblCellMar>
            <w:top w:w="0" w:type="dxa"/>
            <w:left w:w="0" w:type="dxa"/>
            <w:bottom w:w="0" w:type="dxa"/>
            <w:right w:w="0" w:type="dxa"/>
          </w:tblCellMar>
        </w:tblPrEx>
        <w:trPr>
          <w:trHeight w:val="345" w:hRule="atLeast"/>
        </w:trPr>
        <w:tc>
          <w:tcPr>
            <w:tcW w:w="908"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1364"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908"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908"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908" w:type="pc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单位：元</w:t>
            </w:r>
          </w:p>
        </w:tc>
      </w:tr>
      <w:tr>
        <w:tblPrEx>
          <w:tblCellMar>
            <w:top w:w="0" w:type="dxa"/>
            <w:left w:w="0" w:type="dxa"/>
            <w:bottom w:w="0" w:type="dxa"/>
            <w:right w:w="0" w:type="dxa"/>
          </w:tblCellMar>
        </w:tblPrEx>
        <w:trPr>
          <w:trHeight w:val="450" w:hRule="atLeast"/>
        </w:trPr>
        <w:tc>
          <w:tcPr>
            <w:tcW w:w="908"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科目编码</w:t>
            </w:r>
          </w:p>
        </w:tc>
        <w:tc>
          <w:tcPr>
            <w:tcW w:w="1364"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科目名称</w:t>
            </w:r>
          </w:p>
        </w:tc>
        <w:tc>
          <w:tcPr>
            <w:tcW w:w="2726" w:type="pct"/>
            <w:gridSpan w:val="3"/>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本年政府性基金预算支出</w:t>
            </w:r>
          </w:p>
        </w:tc>
      </w:tr>
      <w:tr>
        <w:tblPrEx>
          <w:tblCellMar>
            <w:top w:w="0" w:type="dxa"/>
            <w:left w:w="0" w:type="dxa"/>
            <w:bottom w:w="0" w:type="dxa"/>
            <w:right w:w="0" w:type="dxa"/>
          </w:tblCellMar>
        </w:tblPrEx>
        <w:trPr>
          <w:trHeight w:val="450" w:hRule="atLeast"/>
        </w:trPr>
        <w:tc>
          <w:tcPr>
            <w:tcW w:w="908"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1364"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90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合计</w:t>
            </w:r>
          </w:p>
        </w:tc>
        <w:tc>
          <w:tcPr>
            <w:tcW w:w="90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基本支出</w:t>
            </w:r>
          </w:p>
        </w:tc>
        <w:tc>
          <w:tcPr>
            <w:tcW w:w="90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项目支出</w:t>
            </w:r>
          </w:p>
        </w:tc>
      </w:tr>
      <w:tr>
        <w:tblPrEx>
          <w:tblCellMar>
            <w:top w:w="0" w:type="dxa"/>
            <w:left w:w="0" w:type="dxa"/>
            <w:bottom w:w="0" w:type="dxa"/>
            <w:right w:w="0" w:type="dxa"/>
          </w:tblCellMar>
        </w:tblPrEx>
        <w:trPr>
          <w:trHeight w:val="525" w:hRule="atLeast"/>
        </w:trPr>
        <w:tc>
          <w:tcPr>
            <w:tcW w:w="90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229</w:t>
            </w:r>
          </w:p>
        </w:tc>
        <w:tc>
          <w:tcPr>
            <w:tcW w:w="136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其他支出</w:t>
            </w:r>
          </w:p>
        </w:tc>
        <w:tc>
          <w:tcPr>
            <w:tcW w:w="90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1,405,552.00</w:t>
            </w:r>
          </w:p>
        </w:tc>
        <w:tc>
          <w:tcPr>
            <w:tcW w:w="90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90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1,405,552.00</w:t>
            </w:r>
          </w:p>
        </w:tc>
      </w:tr>
      <w:tr>
        <w:tblPrEx>
          <w:tblCellMar>
            <w:top w:w="0" w:type="dxa"/>
            <w:left w:w="0" w:type="dxa"/>
            <w:bottom w:w="0" w:type="dxa"/>
            <w:right w:w="0" w:type="dxa"/>
          </w:tblCellMar>
        </w:tblPrEx>
        <w:trPr>
          <w:trHeight w:val="525" w:hRule="atLeast"/>
        </w:trPr>
        <w:tc>
          <w:tcPr>
            <w:tcW w:w="90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22960</w:t>
            </w:r>
          </w:p>
        </w:tc>
        <w:tc>
          <w:tcPr>
            <w:tcW w:w="136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1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彩票公益金安排的支出</w:t>
            </w:r>
          </w:p>
        </w:tc>
        <w:tc>
          <w:tcPr>
            <w:tcW w:w="90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1,405,552.00</w:t>
            </w:r>
          </w:p>
        </w:tc>
        <w:tc>
          <w:tcPr>
            <w:tcW w:w="90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90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1,405,552.00</w:t>
            </w:r>
          </w:p>
        </w:tc>
      </w:tr>
      <w:tr>
        <w:tblPrEx>
          <w:tblCellMar>
            <w:top w:w="0" w:type="dxa"/>
            <w:left w:w="0" w:type="dxa"/>
            <w:bottom w:w="0" w:type="dxa"/>
            <w:right w:w="0" w:type="dxa"/>
          </w:tblCellMar>
        </w:tblPrEx>
        <w:trPr>
          <w:trHeight w:val="525" w:hRule="atLeast"/>
        </w:trPr>
        <w:tc>
          <w:tcPr>
            <w:tcW w:w="90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2296002</w:t>
            </w:r>
          </w:p>
        </w:tc>
        <w:tc>
          <w:tcPr>
            <w:tcW w:w="136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ind w:firstLineChars="20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用于社会福利的彩票公益金支出</w:t>
            </w:r>
          </w:p>
        </w:tc>
        <w:tc>
          <w:tcPr>
            <w:tcW w:w="90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1,405,552.00</w:t>
            </w:r>
          </w:p>
        </w:tc>
        <w:tc>
          <w:tcPr>
            <w:tcW w:w="90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90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1,405,552.00</w:t>
            </w:r>
          </w:p>
        </w:tc>
      </w:tr>
      <w:tr>
        <w:tblPrEx>
          <w:tblCellMar>
            <w:top w:w="0" w:type="dxa"/>
            <w:left w:w="0" w:type="dxa"/>
            <w:bottom w:w="0" w:type="dxa"/>
            <w:right w:w="0" w:type="dxa"/>
          </w:tblCellMar>
        </w:tblPrEx>
        <w:trPr>
          <w:trHeight w:val="525" w:hRule="atLeast"/>
        </w:trPr>
        <w:tc>
          <w:tcPr>
            <w:tcW w:w="2273" w:type="pct"/>
            <w:gridSpan w:val="2"/>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合      计</w:t>
            </w:r>
          </w:p>
        </w:tc>
        <w:tc>
          <w:tcPr>
            <w:tcW w:w="90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1,405,552.00</w:t>
            </w:r>
          </w:p>
        </w:tc>
        <w:tc>
          <w:tcPr>
            <w:tcW w:w="90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4"/>
                <w:szCs w:val="24"/>
                <w:u w:val="none"/>
              </w:rPr>
            </w:pPr>
          </w:p>
        </w:tc>
        <w:tc>
          <w:tcPr>
            <w:tcW w:w="90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1,405,552.00</w:t>
            </w:r>
          </w:p>
        </w:tc>
      </w:tr>
    </w:tbl>
    <w:p>
      <w:pPr>
        <w:pStyle w:val="2"/>
        <w:ind w:left="0" w:leftChars="0" w:firstLine="0" w:firstLineChars="0"/>
        <w:rPr>
          <w:rFonts w:hint="eastAsia" w:ascii="宋体" w:hAnsi="宋体" w:eastAsia="宋体" w:cs="宋体"/>
          <w:b w:val="0"/>
          <w:bCs w:val="0"/>
          <w:sz w:val="30"/>
          <w:szCs w:val="30"/>
        </w:rPr>
      </w:pPr>
    </w:p>
    <w:tbl>
      <w:tblPr>
        <w:tblStyle w:val="19"/>
        <w:tblW w:w="5000" w:type="pct"/>
        <w:tblInd w:w="0" w:type="dxa"/>
        <w:shd w:val="clear" w:color="auto" w:fill="auto"/>
        <w:tblLayout w:type="autofit"/>
        <w:tblCellMar>
          <w:top w:w="0" w:type="dxa"/>
          <w:left w:w="0" w:type="dxa"/>
          <w:bottom w:w="0" w:type="dxa"/>
          <w:right w:w="0" w:type="dxa"/>
        </w:tblCellMar>
      </w:tblPr>
      <w:tblGrid>
        <w:gridCol w:w="3323"/>
        <w:gridCol w:w="3326"/>
        <w:gridCol w:w="1702"/>
        <w:gridCol w:w="3323"/>
        <w:gridCol w:w="3336"/>
      </w:tblGrid>
      <w:tr>
        <w:tblPrEx>
          <w:tblCellMar>
            <w:top w:w="0" w:type="dxa"/>
            <w:left w:w="0" w:type="dxa"/>
            <w:bottom w:w="0" w:type="dxa"/>
            <w:right w:w="0" w:type="dxa"/>
          </w:tblCellMar>
        </w:tblPrEx>
        <w:trPr>
          <w:trHeight w:val="375" w:hRule="atLeast"/>
        </w:trPr>
        <w:tc>
          <w:tcPr>
            <w:tcW w:w="5000" w:type="pct"/>
            <w:gridSpan w:val="5"/>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32"/>
                <w:szCs w:val="32"/>
                <w:u w:val="none"/>
              </w:rPr>
            </w:pPr>
            <w:r>
              <w:rPr>
                <w:rFonts w:hint="eastAsia" w:ascii="宋体" w:hAnsi="宋体" w:eastAsia="宋体" w:cs="宋体"/>
                <w:b/>
                <w:i w:val="0"/>
                <w:color w:val="000000"/>
                <w:kern w:val="0"/>
                <w:sz w:val="32"/>
                <w:szCs w:val="32"/>
                <w:u w:val="none"/>
                <w:lang w:val="en-US" w:eastAsia="zh-CN" w:bidi="ar"/>
              </w:rPr>
              <w:t>表9</w:t>
            </w:r>
          </w:p>
        </w:tc>
      </w:tr>
      <w:tr>
        <w:tblPrEx>
          <w:tblCellMar>
            <w:top w:w="0" w:type="dxa"/>
            <w:left w:w="0" w:type="dxa"/>
            <w:bottom w:w="0" w:type="dxa"/>
            <w:right w:w="0" w:type="dxa"/>
          </w:tblCellMar>
        </w:tblPrEx>
        <w:trPr>
          <w:trHeight w:val="120" w:hRule="atLeast"/>
        </w:trPr>
        <w:tc>
          <w:tcPr>
            <w:tcW w:w="5000" w:type="pct"/>
            <w:gridSpan w:val="5"/>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6"/>
                <w:szCs w:val="36"/>
                <w:u w:val="none"/>
              </w:rPr>
            </w:pPr>
            <w:r>
              <w:rPr>
                <w:rFonts w:hint="eastAsia" w:ascii="宋体" w:hAnsi="宋体" w:eastAsia="宋体" w:cs="宋体"/>
                <w:b/>
                <w:i w:val="0"/>
                <w:color w:val="000000"/>
                <w:kern w:val="0"/>
                <w:sz w:val="36"/>
                <w:szCs w:val="36"/>
                <w:u w:val="none"/>
                <w:lang w:val="en-US" w:eastAsia="zh-CN" w:bidi="ar"/>
              </w:rPr>
              <w:t>国有资本经营预算支出表</w:t>
            </w:r>
          </w:p>
        </w:tc>
      </w:tr>
      <w:tr>
        <w:tblPrEx>
          <w:tblCellMar>
            <w:top w:w="0" w:type="dxa"/>
            <w:left w:w="0" w:type="dxa"/>
            <w:bottom w:w="0" w:type="dxa"/>
            <w:right w:w="0" w:type="dxa"/>
          </w:tblCellMar>
        </w:tblPrEx>
        <w:trPr>
          <w:trHeight w:val="268" w:hRule="atLeast"/>
        </w:trPr>
        <w:tc>
          <w:tcPr>
            <w:tcW w:w="1107"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1107"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567"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1107"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1108" w:type="pc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单位：元</w:t>
            </w:r>
          </w:p>
        </w:tc>
      </w:tr>
      <w:tr>
        <w:tblPrEx>
          <w:tblCellMar>
            <w:top w:w="0" w:type="dxa"/>
            <w:left w:w="0" w:type="dxa"/>
            <w:bottom w:w="0" w:type="dxa"/>
            <w:right w:w="0" w:type="dxa"/>
          </w:tblCellMar>
        </w:tblPrEx>
        <w:trPr>
          <w:trHeight w:val="450" w:hRule="atLeast"/>
        </w:trPr>
        <w:tc>
          <w:tcPr>
            <w:tcW w:w="1107"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科目编码</w:t>
            </w:r>
          </w:p>
        </w:tc>
        <w:tc>
          <w:tcPr>
            <w:tcW w:w="1107"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科目名称</w:t>
            </w:r>
          </w:p>
        </w:tc>
        <w:tc>
          <w:tcPr>
            <w:tcW w:w="2784" w:type="pct"/>
            <w:gridSpan w:val="3"/>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本年国有资本经营预算支出</w:t>
            </w:r>
          </w:p>
        </w:tc>
      </w:tr>
      <w:tr>
        <w:tblPrEx>
          <w:tblCellMar>
            <w:top w:w="0" w:type="dxa"/>
            <w:left w:w="0" w:type="dxa"/>
            <w:bottom w:w="0" w:type="dxa"/>
            <w:right w:w="0" w:type="dxa"/>
          </w:tblCellMar>
        </w:tblPrEx>
        <w:trPr>
          <w:trHeight w:val="90" w:hRule="atLeast"/>
        </w:trPr>
        <w:tc>
          <w:tcPr>
            <w:tcW w:w="1107"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1107"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56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合计</w:t>
            </w:r>
          </w:p>
        </w:tc>
        <w:tc>
          <w:tcPr>
            <w:tcW w:w="11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基本支出</w:t>
            </w:r>
          </w:p>
        </w:tc>
        <w:tc>
          <w:tcPr>
            <w:tcW w:w="110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项目支出</w:t>
            </w:r>
          </w:p>
        </w:tc>
      </w:tr>
      <w:tr>
        <w:tblPrEx>
          <w:tblCellMar>
            <w:top w:w="0" w:type="dxa"/>
            <w:left w:w="0" w:type="dxa"/>
            <w:bottom w:w="0" w:type="dxa"/>
            <w:right w:w="0" w:type="dxa"/>
          </w:tblCellMar>
        </w:tblPrEx>
        <w:trPr>
          <w:trHeight w:val="280" w:hRule="atLeast"/>
        </w:trPr>
        <w:tc>
          <w:tcPr>
            <w:tcW w:w="11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11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56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1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10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18" w:hRule="atLeast"/>
        </w:trPr>
        <w:tc>
          <w:tcPr>
            <w:tcW w:w="11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11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56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1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10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330" w:hRule="atLeast"/>
        </w:trPr>
        <w:tc>
          <w:tcPr>
            <w:tcW w:w="11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11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56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1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110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402" w:hRule="atLeast"/>
        </w:trPr>
        <w:tc>
          <w:tcPr>
            <w:tcW w:w="2215" w:type="pct"/>
            <w:gridSpan w:val="2"/>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合      计</w:t>
            </w:r>
          </w:p>
        </w:tc>
        <w:tc>
          <w:tcPr>
            <w:tcW w:w="56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4"/>
                <w:szCs w:val="24"/>
                <w:u w:val="none"/>
              </w:rPr>
            </w:pPr>
          </w:p>
        </w:tc>
        <w:tc>
          <w:tcPr>
            <w:tcW w:w="11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4"/>
                <w:szCs w:val="24"/>
                <w:u w:val="none"/>
              </w:rPr>
            </w:pPr>
          </w:p>
        </w:tc>
        <w:tc>
          <w:tcPr>
            <w:tcW w:w="110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4"/>
                <w:szCs w:val="24"/>
                <w:u w:val="none"/>
              </w:rPr>
            </w:pPr>
          </w:p>
        </w:tc>
      </w:tr>
    </w:tbl>
    <w:p>
      <w:pPr>
        <w:pStyle w:val="2"/>
        <w:ind w:left="0" w:leftChars="0" w:firstLine="0" w:firstLineChars="0"/>
        <w:rPr>
          <w:rFonts w:hint="eastAsia" w:ascii="宋体" w:hAnsi="宋体" w:eastAsia="宋体" w:cs="宋体"/>
          <w:b w:val="0"/>
          <w:bCs w:val="0"/>
          <w:sz w:val="30"/>
          <w:szCs w:val="30"/>
        </w:rPr>
      </w:pPr>
    </w:p>
    <w:tbl>
      <w:tblPr>
        <w:tblStyle w:val="19"/>
        <w:tblW w:w="5000" w:type="pct"/>
        <w:tblInd w:w="0" w:type="dxa"/>
        <w:shd w:val="clear" w:color="auto" w:fill="auto"/>
        <w:tblLayout w:type="autofit"/>
        <w:tblCellMar>
          <w:top w:w="0" w:type="dxa"/>
          <w:left w:w="0" w:type="dxa"/>
          <w:bottom w:w="0" w:type="dxa"/>
          <w:right w:w="0" w:type="dxa"/>
        </w:tblCellMar>
      </w:tblPr>
      <w:tblGrid>
        <w:gridCol w:w="694"/>
        <w:gridCol w:w="1192"/>
        <w:gridCol w:w="2962"/>
        <w:gridCol w:w="586"/>
        <w:gridCol w:w="1136"/>
        <w:gridCol w:w="699"/>
        <w:gridCol w:w="864"/>
        <w:gridCol w:w="1002"/>
        <w:gridCol w:w="1141"/>
        <w:gridCol w:w="864"/>
        <w:gridCol w:w="1002"/>
        <w:gridCol w:w="1141"/>
        <w:gridCol w:w="1141"/>
        <w:gridCol w:w="586"/>
      </w:tblGrid>
      <w:tr>
        <w:tblPrEx>
          <w:shd w:val="clear" w:color="auto" w:fill="auto"/>
          <w:tblCellMar>
            <w:top w:w="0" w:type="dxa"/>
            <w:left w:w="0" w:type="dxa"/>
            <w:bottom w:w="0" w:type="dxa"/>
            <w:right w:w="0" w:type="dxa"/>
          </w:tblCellMar>
        </w:tblPrEx>
        <w:trPr>
          <w:trHeight w:val="375" w:hRule="atLeast"/>
        </w:trPr>
        <w:tc>
          <w:tcPr>
            <w:tcW w:w="334" w:type="pc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32"/>
                <w:szCs w:val="32"/>
                <w:u w:val="none"/>
              </w:rPr>
            </w:pPr>
            <w:r>
              <w:rPr>
                <w:rFonts w:hint="eastAsia" w:ascii="宋体" w:hAnsi="宋体" w:eastAsia="宋体" w:cs="宋体"/>
                <w:b/>
                <w:i w:val="0"/>
                <w:color w:val="000000"/>
                <w:kern w:val="0"/>
                <w:sz w:val="32"/>
                <w:szCs w:val="32"/>
                <w:u w:val="none"/>
                <w:lang w:val="en-US" w:eastAsia="zh-CN" w:bidi="ar"/>
              </w:rPr>
              <w:t>表10</w:t>
            </w:r>
          </w:p>
        </w:tc>
        <w:tc>
          <w:tcPr>
            <w:tcW w:w="334" w:type="pct"/>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b/>
                <w:i w:val="0"/>
                <w:color w:val="000000"/>
                <w:sz w:val="32"/>
                <w:szCs w:val="32"/>
                <w:u w:val="none"/>
              </w:rPr>
            </w:pPr>
          </w:p>
        </w:tc>
        <w:tc>
          <w:tcPr>
            <w:tcW w:w="645" w:type="pct"/>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b/>
                <w:i w:val="0"/>
                <w:color w:val="000000"/>
                <w:sz w:val="32"/>
                <w:szCs w:val="32"/>
                <w:u w:val="none"/>
              </w:rPr>
            </w:pPr>
          </w:p>
        </w:tc>
        <w:tc>
          <w:tcPr>
            <w:tcW w:w="334" w:type="pct"/>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b/>
                <w:i w:val="0"/>
                <w:color w:val="000000"/>
                <w:sz w:val="32"/>
                <w:szCs w:val="32"/>
                <w:u w:val="none"/>
              </w:rPr>
            </w:pPr>
          </w:p>
        </w:tc>
        <w:tc>
          <w:tcPr>
            <w:tcW w:w="334" w:type="pct"/>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b/>
                <w:i w:val="0"/>
                <w:color w:val="000000"/>
                <w:sz w:val="32"/>
                <w:szCs w:val="32"/>
                <w:u w:val="none"/>
              </w:rPr>
            </w:pPr>
          </w:p>
        </w:tc>
        <w:tc>
          <w:tcPr>
            <w:tcW w:w="334" w:type="pct"/>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b/>
                <w:i w:val="0"/>
                <w:color w:val="000000"/>
                <w:sz w:val="32"/>
                <w:szCs w:val="32"/>
                <w:u w:val="none"/>
              </w:rPr>
            </w:pPr>
          </w:p>
        </w:tc>
        <w:tc>
          <w:tcPr>
            <w:tcW w:w="335" w:type="pct"/>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b/>
                <w:i w:val="0"/>
                <w:color w:val="000000"/>
                <w:sz w:val="32"/>
                <w:szCs w:val="32"/>
                <w:u w:val="none"/>
              </w:rPr>
            </w:pPr>
          </w:p>
        </w:tc>
        <w:tc>
          <w:tcPr>
            <w:tcW w:w="335" w:type="pct"/>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b/>
                <w:i w:val="0"/>
                <w:color w:val="000000"/>
                <w:sz w:val="32"/>
                <w:szCs w:val="32"/>
                <w:u w:val="none"/>
              </w:rPr>
            </w:pPr>
          </w:p>
        </w:tc>
        <w:tc>
          <w:tcPr>
            <w:tcW w:w="335" w:type="pct"/>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b/>
                <w:i w:val="0"/>
                <w:color w:val="000000"/>
                <w:sz w:val="32"/>
                <w:szCs w:val="32"/>
                <w:u w:val="none"/>
              </w:rPr>
            </w:pPr>
          </w:p>
        </w:tc>
        <w:tc>
          <w:tcPr>
            <w:tcW w:w="335" w:type="pct"/>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b/>
                <w:i w:val="0"/>
                <w:color w:val="000000"/>
                <w:sz w:val="32"/>
                <w:szCs w:val="32"/>
                <w:u w:val="none"/>
              </w:rPr>
            </w:pPr>
          </w:p>
        </w:tc>
        <w:tc>
          <w:tcPr>
            <w:tcW w:w="335" w:type="pct"/>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b/>
                <w:i w:val="0"/>
                <w:color w:val="000000"/>
                <w:sz w:val="32"/>
                <w:szCs w:val="32"/>
                <w:u w:val="none"/>
              </w:rPr>
            </w:pPr>
          </w:p>
        </w:tc>
        <w:tc>
          <w:tcPr>
            <w:tcW w:w="335" w:type="pct"/>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b/>
                <w:i w:val="0"/>
                <w:color w:val="000000"/>
                <w:sz w:val="32"/>
                <w:szCs w:val="32"/>
                <w:u w:val="none"/>
              </w:rPr>
            </w:pPr>
          </w:p>
        </w:tc>
        <w:tc>
          <w:tcPr>
            <w:tcW w:w="335" w:type="pct"/>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b/>
                <w:i w:val="0"/>
                <w:color w:val="000000"/>
                <w:sz w:val="32"/>
                <w:szCs w:val="32"/>
                <w:u w:val="none"/>
              </w:rPr>
            </w:pPr>
          </w:p>
        </w:tc>
        <w:tc>
          <w:tcPr>
            <w:tcW w:w="335" w:type="pct"/>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b/>
                <w:i w:val="0"/>
                <w:color w:val="000000"/>
                <w:sz w:val="32"/>
                <w:szCs w:val="32"/>
                <w:u w:val="none"/>
              </w:rPr>
            </w:pPr>
          </w:p>
        </w:tc>
      </w:tr>
      <w:tr>
        <w:tblPrEx>
          <w:tblCellMar>
            <w:top w:w="0" w:type="dxa"/>
            <w:left w:w="0" w:type="dxa"/>
            <w:bottom w:w="0" w:type="dxa"/>
            <w:right w:w="0" w:type="dxa"/>
          </w:tblCellMar>
        </w:tblPrEx>
        <w:trPr>
          <w:trHeight w:val="900" w:hRule="atLeast"/>
        </w:trPr>
        <w:tc>
          <w:tcPr>
            <w:tcW w:w="5000" w:type="pct"/>
            <w:gridSpan w:val="14"/>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6"/>
                <w:szCs w:val="36"/>
                <w:u w:val="none"/>
              </w:rPr>
            </w:pPr>
            <w:r>
              <w:rPr>
                <w:rFonts w:hint="eastAsia" w:ascii="宋体" w:hAnsi="宋体" w:eastAsia="宋体" w:cs="宋体"/>
                <w:b/>
                <w:i w:val="0"/>
                <w:color w:val="000000"/>
                <w:kern w:val="0"/>
                <w:sz w:val="36"/>
                <w:szCs w:val="36"/>
                <w:u w:val="none"/>
                <w:lang w:val="en-US" w:eastAsia="zh-CN" w:bidi="ar"/>
              </w:rPr>
              <w:t>项目支出表</w:t>
            </w:r>
          </w:p>
        </w:tc>
      </w:tr>
      <w:tr>
        <w:tblPrEx>
          <w:tblCellMar>
            <w:top w:w="0" w:type="dxa"/>
            <w:left w:w="0" w:type="dxa"/>
            <w:bottom w:w="0" w:type="dxa"/>
            <w:right w:w="0" w:type="dxa"/>
          </w:tblCellMar>
        </w:tblPrEx>
        <w:trPr>
          <w:trHeight w:val="405" w:hRule="atLeast"/>
        </w:trPr>
        <w:tc>
          <w:tcPr>
            <w:tcW w:w="334"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334"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645"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334"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334"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334"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335"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335"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335"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335"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335"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335"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335"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335" w:type="pc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单位：元</w:t>
            </w:r>
          </w:p>
        </w:tc>
      </w:tr>
      <w:tr>
        <w:tblPrEx>
          <w:tblCellMar>
            <w:top w:w="0" w:type="dxa"/>
            <w:left w:w="0" w:type="dxa"/>
            <w:bottom w:w="0" w:type="dxa"/>
            <w:right w:w="0" w:type="dxa"/>
          </w:tblCellMar>
        </w:tblPrEx>
        <w:trPr>
          <w:trHeight w:val="450" w:hRule="atLeast"/>
        </w:trPr>
        <w:tc>
          <w:tcPr>
            <w:tcW w:w="334"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类型</w:t>
            </w:r>
          </w:p>
        </w:tc>
        <w:tc>
          <w:tcPr>
            <w:tcW w:w="334"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项目编码</w:t>
            </w:r>
          </w:p>
        </w:tc>
        <w:tc>
          <w:tcPr>
            <w:tcW w:w="645"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项目名称</w:t>
            </w:r>
          </w:p>
        </w:tc>
        <w:tc>
          <w:tcPr>
            <w:tcW w:w="334"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单位编码</w:t>
            </w:r>
          </w:p>
        </w:tc>
        <w:tc>
          <w:tcPr>
            <w:tcW w:w="334"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项目单位</w:t>
            </w:r>
          </w:p>
        </w:tc>
        <w:tc>
          <w:tcPr>
            <w:tcW w:w="334"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合计</w:t>
            </w:r>
          </w:p>
        </w:tc>
        <w:tc>
          <w:tcPr>
            <w:tcW w:w="1005" w:type="pct"/>
            <w:gridSpan w:val="3"/>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本年拨款</w:t>
            </w:r>
          </w:p>
        </w:tc>
        <w:tc>
          <w:tcPr>
            <w:tcW w:w="1005" w:type="pct"/>
            <w:gridSpan w:val="3"/>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财政拨款结转结余</w:t>
            </w:r>
          </w:p>
        </w:tc>
        <w:tc>
          <w:tcPr>
            <w:tcW w:w="335"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财政专户管理资金</w:t>
            </w:r>
          </w:p>
        </w:tc>
        <w:tc>
          <w:tcPr>
            <w:tcW w:w="335" w:type="pct"/>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单位资金</w:t>
            </w:r>
          </w:p>
        </w:tc>
      </w:tr>
      <w:tr>
        <w:tblPrEx>
          <w:tblCellMar>
            <w:top w:w="0" w:type="dxa"/>
            <w:left w:w="0" w:type="dxa"/>
            <w:bottom w:w="0" w:type="dxa"/>
            <w:right w:w="0" w:type="dxa"/>
          </w:tblCellMar>
        </w:tblPrEx>
        <w:trPr>
          <w:trHeight w:val="450" w:hRule="atLeast"/>
        </w:trPr>
        <w:tc>
          <w:tcPr>
            <w:tcW w:w="334"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334"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645"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334"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334"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334"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一般公共预算</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政府性基金预算</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国有资本经营预算</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一般公共预算</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政府性基金预算</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国有资本经营预算</w:t>
            </w:r>
          </w:p>
        </w:tc>
        <w:tc>
          <w:tcPr>
            <w:tcW w:w="335"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c>
          <w:tcPr>
            <w:tcW w:w="335" w:type="pct"/>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30"/>
                <w:szCs w:val="30"/>
                <w:u w:val="none"/>
              </w:rPr>
            </w:pPr>
          </w:p>
        </w:tc>
      </w:tr>
      <w:tr>
        <w:tblPrEx>
          <w:tblCellMar>
            <w:top w:w="0" w:type="dxa"/>
            <w:left w:w="0" w:type="dxa"/>
            <w:bottom w:w="0" w:type="dxa"/>
            <w:right w:w="0" w:type="dxa"/>
          </w:tblCellMar>
        </w:tblPrEx>
        <w:trPr>
          <w:trHeight w:val="525" w:hRule="atLeast"/>
        </w:trPr>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专项资金项目</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152500246073210000035</w:t>
            </w:r>
          </w:p>
        </w:tc>
        <w:tc>
          <w:tcPr>
            <w:tcW w:w="64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特困供养资金</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锡林郭勒盟社会福利院</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180,000.00</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180,000.00</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专项资金项目</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152500246073210000148</w:t>
            </w:r>
          </w:p>
        </w:tc>
        <w:tc>
          <w:tcPr>
            <w:tcW w:w="64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养老机构责任保险（锡财社【2024】1123号）</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锡林郭勒盟社会福利院</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11,000.00</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11,000.00</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专项资金项目</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152500246073210000151</w:t>
            </w:r>
          </w:p>
        </w:tc>
        <w:tc>
          <w:tcPr>
            <w:tcW w:w="64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2024年自治区养老服务补贴资金（内财社【2024】1434号）</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锡林郭勒盟社会福利院</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107,000.00</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107,000.00</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专项资金项目</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152500256073210000027</w:t>
            </w:r>
          </w:p>
        </w:tc>
        <w:tc>
          <w:tcPr>
            <w:tcW w:w="64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消防改造资金（2025年）</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锡林郭勒盟社会福利院</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950,000.00</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950,000.00</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专项资金项目</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152500246073210000043</w:t>
            </w:r>
          </w:p>
        </w:tc>
        <w:tc>
          <w:tcPr>
            <w:tcW w:w="64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自治区困难群众救助补助资金 （内财社【2023】1545号）</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锡林郭勒盟社会福利院</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67,938.81</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67,938.81</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部门预算项目</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152500256073110000001</w:t>
            </w:r>
          </w:p>
        </w:tc>
        <w:tc>
          <w:tcPr>
            <w:tcW w:w="64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福利园区运行（2025年）</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锡林郭勒盟社会福利院</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200,000.00</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200,000.00</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专项资金项目</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152500236073210000105</w:t>
            </w:r>
          </w:p>
        </w:tc>
        <w:tc>
          <w:tcPr>
            <w:tcW w:w="64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锡盟社会福利院养老服务质量提升(内财综【2022】1646号)</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锡林郭勒盟社会福利院</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426,080.00</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426,080.00</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专项资金项目</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152500256073210000016</w:t>
            </w:r>
          </w:p>
        </w:tc>
        <w:tc>
          <w:tcPr>
            <w:tcW w:w="64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养老机构政策性保险补贴和养老护理员特殊岗位津贴</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锡林郭勒盟社会福利院</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211,400.00</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211,400.00</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专项资金项目</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152500256073210000014</w:t>
            </w:r>
          </w:p>
        </w:tc>
        <w:tc>
          <w:tcPr>
            <w:tcW w:w="64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城市特困人员供养项目</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锡林郭勒盟社会福利院</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660,000.00</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660,000.00</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专项资金项目</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152500246073210000038</w:t>
            </w:r>
          </w:p>
        </w:tc>
        <w:tc>
          <w:tcPr>
            <w:tcW w:w="64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养老机构政策性保险补贴和养老护理员特殊岗位津贴</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锡林郭勒盟社会福利院</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61,960.00</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61,960.00</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专项资金项目</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152500246073210000064</w:t>
            </w:r>
          </w:p>
        </w:tc>
        <w:tc>
          <w:tcPr>
            <w:tcW w:w="64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公办养老机构消防改造资金 （内财综【2023】1683号）</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锡林郭勒盟社会福利院</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18,472.00</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18,472.00</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525" w:hRule="atLeast"/>
        </w:trPr>
        <w:tc>
          <w:tcPr>
            <w:tcW w:w="1984" w:type="pct"/>
            <w:gridSpan w:val="5"/>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合  计</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2,893,850.81</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1,071,400.00</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950,000.00</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416,898.81</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455,552.00</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4"/>
                <w:szCs w:val="24"/>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4"/>
                <w:szCs w:val="24"/>
                <w:u w:val="none"/>
              </w:rPr>
            </w:pPr>
          </w:p>
        </w:tc>
      </w:tr>
    </w:tbl>
    <w:p>
      <w:pPr>
        <w:pStyle w:val="2"/>
        <w:ind w:left="0" w:leftChars="0" w:firstLine="0" w:firstLineChars="0"/>
        <w:rPr>
          <w:rFonts w:hint="eastAsia" w:ascii="宋体" w:hAnsi="宋体" w:eastAsia="宋体" w:cs="宋体"/>
          <w:b w:val="0"/>
          <w:bCs w:val="0"/>
          <w:sz w:val="30"/>
          <w:szCs w:val="30"/>
        </w:rPr>
      </w:pPr>
    </w:p>
    <w:p>
      <w:pPr>
        <w:pStyle w:val="2"/>
        <w:ind w:left="0" w:leftChars="0" w:firstLine="0" w:firstLineChars="0"/>
        <w:rPr>
          <w:rFonts w:hint="eastAsia" w:ascii="宋体" w:hAnsi="宋体" w:eastAsia="宋体" w:cs="宋体"/>
          <w:b w:val="0"/>
          <w:bCs w:val="0"/>
          <w:sz w:val="30"/>
          <w:szCs w:val="30"/>
        </w:rPr>
      </w:pPr>
    </w:p>
    <w:p>
      <w:pPr>
        <w:pStyle w:val="2"/>
        <w:ind w:left="0" w:leftChars="0" w:firstLine="0" w:firstLineChars="0"/>
        <w:rPr>
          <w:rFonts w:hint="eastAsia" w:ascii="宋体" w:hAnsi="宋体" w:eastAsia="宋体" w:cs="宋体"/>
          <w:b w:val="0"/>
          <w:bCs w:val="0"/>
          <w:sz w:val="30"/>
          <w:szCs w:val="30"/>
        </w:rPr>
      </w:pPr>
    </w:p>
    <w:p>
      <w:pPr>
        <w:pStyle w:val="2"/>
        <w:ind w:left="0" w:leftChars="0" w:firstLine="0" w:firstLineChars="0"/>
        <w:rPr>
          <w:rFonts w:hint="eastAsia" w:ascii="宋体" w:hAnsi="宋体" w:eastAsia="宋体" w:cs="宋体"/>
          <w:b w:val="0"/>
          <w:bCs w:val="0"/>
          <w:sz w:val="30"/>
          <w:szCs w:val="30"/>
        </w:rPr>
      </w:pPr>
    </w:p>
    <w:p>
      <w:pPr>
        <w:pStyle w:val="2"/>
        <w:ind w:left="0" w:leftChars="0" w:firstLine="0" w:firstLineChars="0"/>
        <w:rPr>
          <w:rFonts w:hint="eastAsia" w:ascii="宋体" w:hAnsi="宋体" w:eastAsia="宋体" w:cs="宋体"/>
          <w:b w:val="0"/>
          <w:bCs w:val="0"/>
          <w:sz w:val="30"/>
          <w:szCs w:val="30"/>
        </w:rPr>
      </w:pPr>
    </w:p>
    <w:tbl>
      <w:tblPr>
        <w:tblStyle w:val="19"/>
        <w:tblW w:w="5000" w:type="pct"/>
        <w:tblInd w:w="0" w:type="dxa"/>
        <w:shd w:val="clear" w:color="auto" w:fill="auto"/>
        <w:tblLayout w:type="autofit"/>
        <w:tblCellMar>
          <w:top w:w="0" w:type="dxa"/>
          <w:left w:w="0" w:type="dxa"/>
          <w:bottom w:w="0" w:type="dxa"/>
          <w:right w:w="0" w:type="dxa"/>
        </w:tblCellMar>
      </w:tblPr>
      <w:tblGrid>
        <w:gridCol w:w="1135"/>
        <w:gridCol w:w="1136"/>
        <w:gridCol w:w="1136"/>
        <w:gridCol w:w="1474"/>
        <w:gridCol w:w="1689"/>
        <w:gridCol w:w="1136"/>
        <w:gridCol w:w="1136"/>
        <w:gridCol w:w="1136"/>
        <w:gridCol w:w="1136"/>
        <w:gridCol w:w="1136"/>
        <w:gridCol w:w="860"/>
        <w:gridCol w:w="1136"/>
        <w:gridCol w:w="764"/>
      </w:tblGrid>
      <w:tr>
        <w:tblPrEx>
          <w:shd w:val="clear" w:color="auto" w:fill="auto"/>
          <w:tblCellMar>
            <w:top w:w="0" w:type="dxa"/>
            <w:left w:w="0" w:type="dxa"/>
            <w:bottom w:w="0" w:type="dxa"/>
            <w:right w:w="0" w:type="dxa"/>
          </w:tblCellMar>
        </w:tblPrEx>
        <w:trPr>
          <w:trHeight w:val="375" w:hRule="atLeast"/>
        </w:trPr>
        <w:tc>
          <w:tcPr>
            <w:tcW w:w="5000" w:type="pct"/>
            <w:gridSpan w:val="13"/>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32"/>
                <w:szCs w:val="32"/>
                <w:u w:val="none"/>
              </w:rPr>
            </w:pPr>
            <w:r>
              <w:rPr>
                <w:rFonts w:hint="eastAsia" w:ascii="宋体" w:hAnsi="宋体" w:eastAsia="宋体" w:cs="宋体"/>
                <w:b/>
                <w:i w:val="0"/>
                <w:color w:val="000000"/>
                <w:kern w:val="0"/>
                <w:sz w:val="32"/>
                <w:szCs w:val="32"/>
                <w:u w:val="none"/>
                <w:lang w:val="en-US" w:eastAsia="zh-CN" w:bidi="ar"/>
              </w:rPr>
              <w:t>表11</w:t>
            </w:r>
          </w:p>
        </w:tc>
      </w:tr>
      <w:tr>
        <w:tblPrEx>
          <w:tblCellMar>
            <w:top w:w="0" w:type="dxa"/>
            <w:left w:w="0" w:type="dxa"/>
            <w:bottom w:w="0" w:type="dxa"/>
            <w:right w:w="0" w:type="dxa"/>
          </w:tblCellMar>
        </w:tblPrEx>
        <w:trPr>
          <w:trHeight w:val="600" w:hRule="atLeast"/>
        </w:trPr>
        <w:tc>
          <w:tcPr>
            <w:tcW w:w="5000" w:type="pct"/>
            <w:gridSpan w:val="13"/>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6"/>
                <w:szCs w:val="36"/>
                <w:u w:val="none"/>
              </w:rPr>
            </w:pPr>
            <w:r>
              <w:rPr>
                <w:rFonts w:hint="eastAsia" w:ascii="宋体" w:hAnsi="宋体" w:eastAsia="宋体" w:cs="宋体"/>
                <w:b/>
                <w:i w:val="0"/>
                <w:color w:val="000000"/>
                <w:kern w:val="0"/>
                <w:sz w:val="36"/>
                <w:szCs w:val="36"/>
                <w:u w:val="none"/>
                <w:lang w:val="en-US" w:eastAsia="zh-CN" w:bidi="ar"/>
              </w:rPr>
              <w:t>项目绩效目标表</w:t>
            </w:r>
          </w:p>
        </w:tc>
      </w:tr>
      <w:tr>
        <w:tblPrEx>
          <w:tblCellMar>
            <w:top w:w="0" w:type="dxa"/>
            <w:left w:w="0" w:type="dxa"/>
            <w:bottom w:w="0" w:type="dxa"/>
            <w:right w:w="0" w:type="dxa"/>
          </w:tblCellMar>
        </w:tblPrEx>
        <w:trPr>
          <w:trHeight w:val="270" w:hRule="atLeast"/>
        </w:trPr>
        <w:tc>
          <w:tcPr>
            <w:tcW w:w="410"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410"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376"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468"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626"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360"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360"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360"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360"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360"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85"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360" w:type="pct"/>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2"/>
                <w:szCs w:val="22"/>
                <w:u w:val="none"/>
              </w:rPr>
            </w:pPr>
          </w:p>
        </w:tc>
        <w:tc>
          <w:tcPr>
            <w:tcW w:w="259" w:type="pc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单位：元</w:t>
            </w:r>
          </w:p>
        </w:tc>
      </w:tr>
      <w:tr>
        <w:tblPrEx>
          <w:tblCellMar>
            <w:top w:w="0" w:type="dxa"/>
            <w:left w:w="0" w:type="dxa"/>
            <w:bottom w:w="0" w:type="dxa"/>
            <w:right w:w="0" w:type="dxa"/>
          </w:tblCellMar>
        </w:tblPrEx>
        <w:trPr>
          <w:trHeight w:val="600" w:hRule="atLeast"/>
        </w:trPr>
        <w:tc>
          <w:tcPr>
            <w:tcW w:w="410"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项目名称</w:t>
            </w:r>
          </w:p>
        </w:tc>
        <w:tc>
          <w:tcPr>
            <w:tcW w:w="410"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项目单位</w:t>
            </w:r>
          </w:p>
        </w:tc>
        <w:tc>
          <w:tcPr>
            <w:tcW w:w="37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项目类别</w:t>
            </w:r>
          </w:p>
        </w:tc>
        <w:tc>
          <w:tcPr>
            <w:tcW w:w="46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预算数</w:t>
            </w:r>
          </w:p>
        </w:tc>
        <w:tc>
          <w:tcPr>
            <w:tcW w:w="62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年度绩效目标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一级指标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二级指标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三级指标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指标性质</w:t>
            </w:r>
          </w:p>
        </w:tc>
        <w:tc>
          <w:tcPr>
            <w:tcW w:w="360"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指标方向</w:t>
            </w:r>
          </w:p>
        </w:tc>
        <w:tc>
          <w:tcPr>
            <w:tcW w:w="28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目标值</w:t>
            </w:r>
          </w:p>
        </w:tc>
        <w:tc>
          <w:tcPr>
            <w:tcW w:w="360"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计量单位</w:t>
            </w:r>
          </w:p>
        </w:tc>
        <w:tc>
          <w:tcPr>
            <w:tcW w:w="25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分值</w:t>
            </w:r>
          </w:p>
        </w:tc>
      </w:tr>
      <w:tr>
        <w:tblPrEx>
          <w:tblCellMar>
            <w:top w:w="0" w:type="dxa"/>
            <w:left w:w="0" w:type="dxa"/>
            <w:bottom w:w="0" w:type="dxa"/>
            <w:right w:w="0" w:type="dxa"/>
          </w:tblCellMar>
        </w:tblPrEx>
        <w:trPr>
          <w:trHeight w:val="525" w:hRule="atLeast"/>
        </w:trPr>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单位资金工资福利</w:t>
            </w:r>
          </w:p>
        </w:tc>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607003-锡林郭勒盟社会福利院</w:t>
            </w:r>
          </w:p>
        </w:tc>
        <w:tc>
          <w:tcPr>
            <w:tcW w:w="37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11-工资福利支出</w:t>
            </w:r>
          </w:p>
        </w:tc>
        <w:tc>
          <w:tcPr>
            <w:tcW w:w="468"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1,500,000.00</w:t>
            </w:r>
          </w:p>
        </w:tc>
        <w:tc>
          <w:tcPr>
            <w:tcW w:w="62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严格执行相关政策，保障工资及时发放、足额发放，预算编制科学合理，减少结余资金</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产出指标(50分)</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数量指标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科目调整次数</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反向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次</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足额保障率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时效指标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发放及时率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效益指标(30分)</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经济效益指标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结余率=结余数/预算数</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反向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住房补贴</w:t>
            </w:r>
          </w:p>
        </w:tc>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607003-锡林郭勒盟社会福利院</w:t>
            </w:r>
          </w:p>
        </w:tc>
        <w:tc>
          <w:tcPr>
            <w:tcW w:w="37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11-工资福利支出</w:t>
            </w:r>
          </w:p>
        </w:tc>
        <w:tc>
          <w:tcPr>
            <w:tcW w:w="468"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27,840.00</w:t>
            </w:r>
          </w:p>
        </w:tc>
        <w:tc>
          <w:tcPr>
            <w:tcW w:w="62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严格执行相关政策，保障工资及时发放、足额发放，预算编制科学合理，减少结余资金</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产出指标(50分)</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数量指标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科目调整次数</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反向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次</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足额保障率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时效指标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发放及时率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效益指标(30分)</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经济效益指标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结余率=结余数/预算数</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反向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工资保险等</w:t>
            </w:r>
          </w:p>
        </w:tc>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607003-锡林郭勒盟社会福利院</w:t>
            </w:r>
          </w:p>
        </w:tc>
        <w:tc>
          <w:tcPr>
            <w:tcW w:w="37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11-工资福利支出</w:t>
            </w:r>
          </w:p>
        </w:tc>
        <w:tc>
          <w:tcPr>
            <w:tcW w:w="468"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2,122,968.00</w:t>
            </w:r>
          </w:p>
        </w:tc>
        <w:tc>
          <w:tcPr>
            <w:tcW w:w="62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严格执行相关政策，保障工资及时发放、足额发放，预算编制科学合理，减少结余资金</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产出指标(50分)</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数量指标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科目调整次数</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反向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次</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足额保障率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时效指标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发放及时率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效益指标(30分)</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经济效益指标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结余率=结余数/预算数</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反向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对个人的补助</w:t>
            </w:r>
          </w:p>
        </w:tc>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607003-锡林郭勒盟社会福利院</w:t>
            </w:r>
          </w:p>
        </w:tc>
        <w:tc>
          <w:tcPr>
            <w:tcW w:w="37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12-对个人和家庭补助支出</w:t>
            </w:r>
          </w:p>
        </w:tc>
        <w:tc>
          <w:tcPr>
            <w:tcW w:w="468"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903,456.00</w:t>
            </w:r>
          </w:p>
        </w:tc>
        <w:tc>
          <w:tcPr>
            <w:tcW w:w="62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严格执行相关政策，保障工资及时发放、足额发放，预算编制科学合理，减少结余资金</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产出指标(50分)</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数量指标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科目调整次数</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反向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次</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足额保障率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时效指标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发放及时率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效益指标(30分)</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经济效益指标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结余率=结余数/预算数</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反向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离退休费</w:t>
            </w:r>
          </w:p>
        </w:tc>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607003-锡林郭勒盟社会福利院</w:t>
            </w:r>
          </w:p>
        </w:tc>
        <w:tc>
          <w:tcPr>
            <w:tcW w:w="37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12-对个人和家庭补助支出</w:t>
            </w:r>
          </w:p>
        </w:tc>
        <w:tc>
          <w:tcPr>
            <w:tcW w:w="468"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158,229.60</w:t>
            </w:r>
          </w:p>
        </w:tc>
        <w:tc>
          <w:tcPr>
            <w:tcW w:w="62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严格执行相关政策，保障工资及时发放、足额发放，预算编制科学合理，减少结余资金</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产出指标(50分)</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数量指标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科目调整次数</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反向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次</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足额保障率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时效指标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发放及时率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效益指标(30分)</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经济效益指标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结余率=结余数/预算数</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反向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编外长聘辅警返聘工资保险公积金</w:t>
            </w:r>
          </w:p>
        </w:tc>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607003-锡林郭勒盟社会福利院</w:t>
            </w:r>
          </w:p>
        </w:tc>
        <w:tc>
          <w:tcPr>
            <w:tcW w:w="37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19-编制外长期聘用人员工资</w:t>
            </w:r>
          </w:p>
        </w:tc>
        <w:tc>
          <w:tcPr>
            <w:tcW w:w="468"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1,100,000.00</w:t>
            </w:r>
          </w:p>
        </w:tc>
        <w:tc>
          <w:tcPr>
            <w:tcW w:w="62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严格执行相关政策，保障工资及时发放、足额发放，预算编制科学合理，减少结余资金</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产出指标(50分)</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数量指标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科目调整次数</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反向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次</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足额保障率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时效指标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发放及时率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效益指标(30分)</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经济效益指标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结余率=结余数/预算数</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反向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单位资金公用经费</w:t>
            </w:r>
          </w:p>
        </w:tc>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607003-锡林郭勒盟社会福利院</w:t>
            </w:r>
          </w:p>
        </w:tc>
        <w:tc>
          <w:tcPr>
            <w:tcW w:w="37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21-公用经费</w:t>
            </w:r>
          </w:p>
        </w:tc>
        <w:tc>
          <w:tcPr>
            <w:tcW w:w="468"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2,950,000.00</w:t>
            </w:r>
          </w:p>
        </w:tc>
        <w:tc>
          <w:tcPr>
            <w:tcW w:w="62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严格执行相关政策，保障工资及时发放、足额发放，预算编制科学合理，减少结余资金</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产出指标(50分)</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数量指标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科目调整次数</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反向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次</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足额保障率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时效指标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发放及时率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效益指标(30分)</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经济效益指标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结余率=结余数/预算数</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反向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物业运维经费</w:t>
            </w:r>
          </w:p>
        </w:tc>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607003-锡林郭勒盟社会福利院</w:t>
            </w:r>
          </w:p>
        </w:tc>
        <w:tc>
          <w:tcPr>
            <w:tcW w:w="37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21-公用经费</w:t>
            </w:r>
          </w:p>
        </w:tc>
        <w:tc>
          <w:tcPr>
            <w:tcW w:w="468"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1,145,000.00</w:t>
            </w:r>
          </w:p>
        </w:tc>
        <w:tc>
          <w:tcPr>
            <w:tcW w:w="62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严格执行相关政策，保障工资及时发放、足额发放，预算编制科学合理，减少结余资金</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产出指标(50分)</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数量指标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科目调整次数</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反向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次</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足额保障率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时效指标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发放及时率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效益指标(30分)</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经济效益指标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结余率=结余数/预算数</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反向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其他公用经费</w:t>
            </w:r>
          </w:p>
        </w:tc>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607003-锡林郭勒盟社会福利院</w:t>
            </w:r>
          </w:p>
        </w:tc>
        <w:tc>
          <w:tcPr>
            <w:tcW w:w="37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21-公用经费</w:t>
            </w:r>
          </w:p>
        </w:tc>
        <w:tc>
          <w:tcPr>
            <w:tcW w:w="468"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71,698.00</w:t>
            </w:r>
          </w:p>
        </w:tc>
        <w:tc>
          <w:tcPr>
            <w:tcW w:w="62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严格执行相关政策，保障工资及时发放、足额发放，预算编制科学合理，减少结余资金</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产出指标(50分)</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数量指标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科目调整次数</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反向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次</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足额保障率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时效指标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发放及时率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效益指标(30分)</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经济效益指标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结余率=结余数/预算数</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反向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公用经费</w:t>
            </w:r>
          </w:p>
        </w:tc>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607003-锡林郭勒盟社会福利院</w:t>
            </w:r>
          </w:p>
        </w:tc>
        <w:tc>
          <w:tcPr>
            <w:tcW w:w="37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21-公用经费</w:t>
            </w:r>
          </w:p>
        </w:tc>
        <w:tc>
          <w:tcPr>
            <w:tcW w:w="468"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43,200.00</w:t>
            </w:r>
          </w:p>
        </w:tc>
        <w:tc>
          <w:tcPr>
            <w:tcW w:w="62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严格执行相关政策，保障工资及时发放、足额发放，预算编制科学合理，减少结余资金</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产出指标(50分)</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数量指标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科目调整次数</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反向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次</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足额保障率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时效指标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发放及时率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效益指标(30分)</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经济效益指标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结余率=结余数/预算数</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反向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22.5</w:t>
            </w:r>
          </w:p>
        </w:tc>
      </w:tr>
      <w:tr>
        <w:tblPrEx>
          <w:tblCellMar>
            <w:top w:w="0" w:type="dxa"/>
            <w:left w:w="0" w:type="dxa"/>
            <w:bottom w:w="0" w:type="dxa"/>
            <w:right w:w="0" w:type="dxa"/>
          </w:tblCellMar>
        </w:tblPrEx>
        <w:trPr>
          <w:trHeight w:val="525" w:hRule="atLeast"/>
        </w:trPr>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福利园区运行（2025年）</w:t>
            </w:r>
          </w:p>
        </w:tc>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607003-锡林郭勒盟社会福利院</w:t>
            </w:r>
          </w:p>
        </w:tc>
        <w:tc>
          <w:tcPr>
            <w:tcW w:w="37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31-部门预算项目</w:t>
            </w:r>
          </w:p>
        </w:tc>
        <w:tc>
          <w:tcPr>
            <w:tcW w:w="468"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200,000.00</w:t>
            </w:r>
          </w:p>
        </w:tc>
        <w:tc>
          <w:tcPr>
            <w:tcW w:w="62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用于民政福利园区近500平米的绿化亮化工程费用支出，包括日常基础设施的维修费用，以及楼道内各种灯光，标志牌的改造亮化费用，以此来保障福利院区能够安全运行，提升入住老人的安全感。</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产出指标(50分)</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成本指标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福利园区基础设施维修费用</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万元</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福利园区绿化亮化费用</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万元</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数量指标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福利园区基础设施维修范围</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大于等于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500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平米</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福利园区绿化亮化范围</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大于等于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500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平米</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时效指标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福利园区基础设施维修时间</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定性</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随坏随修，保持设施完整性</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福利园区绿化亮化时间</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定性</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随坏随修，保持设施完整性</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质量指标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园区维修合格率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大于等于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95</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百分比</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福利园区绿化亮化率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大于等于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95</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百分比</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效益指标(30分)</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可持续影响指标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福利园区基础设施维修后使用</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大于等于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年</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社会效益指标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提升院民生活质量</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定性</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高水平提升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满意度指标(10分)</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服务对象满意度指标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基础设施维修后老人满意</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大于等于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百分比</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r>
      <w:tr>
        <w:tblPrEx>
          <w:tblCellMar>
            <w:top w:w="0" w:type="dxa"/>
            <w:left w:w="0" w:type="dxa"/>
            <w:bottom w:w="0" w:type="dxa"/>
            <w:right w:w="0" w:type="dxa"/>
          </w:tblCellMar>
        </w:tblPrEx>
        <w:trPr>
          <w:trHeight w:val="525" w:hRule="atLeast"/>
        </w:trPr>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城市特困人员供养项目</w:t>
            </w:r>
          </w:p>
        </w:tc>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607003-锡林郭勒盟社会福利院</w:t>
            </w:r>
          </w:p>
        </w:tc>
        <w:tc>
          <w:tcPr>
            <w:tcW w:w="37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32-专项资金项目</w:t>
            </w:r>
          </w:p>
        </w:tc>
        <w:tc>
          <w:tcPr>
            <w:tcW w:w="468"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660,000.00</w:t>
            </w:r>
          </w:p>
        </w:tc>
        <w:tc>
          <w:tcPr>
            <w:tcW w:w="62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此项资金66万元全部用于保障入住在社会福利院集中供养的24名特困人员的吃、喝、住、行、医等日常生活基本支出和照料护理服务，以此来维护特困人员基本生活权益。</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产出指标(50分)</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成本指标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完全丧失生活自理能力基本生活费和照料护理费</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57</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万元</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部分丧失生活自理能力基本生活费和照料护理费</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万元</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数量指标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完全丧失生活自理能力人数</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人</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部分丧失生活自理能力人数</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人</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时效指标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补助发放及时率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大于等于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95</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资金补助时间</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大于等于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个月</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质量指标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发放覆盖率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资金使用率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效益指标(30分)</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可持续影响指标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完善社会救助体系编密织牢民生安全网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定性</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持续完善社会救助体系特困人员供养制度</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社会效益指标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维护特困人员基本生活权益</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定性</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维护特困人员基本生活权益效果优良</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满意度指标(10分)</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服务对象满意度指标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特困对象满意度</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大于等于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95</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r>
      <w:tr>
        <w:tblPrEx>
          <w:tblCellMar>
            <w:top w:w="0" w:type="dxa"/>
            <w:left w:w="0" w:type="dxa"/>
            <w:bottom w:w="0" w:type="dxa"/>
            <w:right w:w="0" w:type="dxa"/>
          </w:tblCellMar>
        </w:tblPrEx>
        <w:trPr>
          <w:trHeight w:val="525" w:hRule="atLeast"/>
        </w:trPr>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养老机构政策性保险补贴和养老护理员特殊岗位津贴</w:t>
            </w:r>
          </w:p>
        </w:tc>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607003-锡林郭勒盟社会福利院</w:t>
            </w:r>
          </w:p>
        </w:tc>
        <w:tc>
          <w:tcPr>
            <w:tcW w:w="37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32-专项资金项目</w:t>
            </w:r>
          </w:p>
        </w:tc>
        <w:tc>
          <w:tcPr>
            <w:tcW w:w="468"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211,400.00</w:t>
            </w:r>
          </w:p>
        </w:tc>
        <w:tc>
          <w:tcPr>
            <w:tcW w:w="62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资金用于购买养老机构政策性保险补贴和发放养老护理员特殊岗位津贴。通过养老机构购买责任保险，强化养老机构内部管理，降低运营风险，维护老年人合法权益加快养老服务业的发展；通过发放养老护理员特岗津贴，促进养老服务人才队伍建设。</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产出指标(50分)</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成本指标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护理员特岗津贴</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20.4</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万元</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购买责任保险</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0.74</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万元</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数量指标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发放护理员特岗津贴人数</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24</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人</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购买责任保险</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份</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时效指标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保险保障期间</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定性</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1年</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护理员特岗津贴期间</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定性</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1年</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质量指标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保险保障金额</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定性</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按标准投保</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护理员特岗津贴金额</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定性</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按特岗标准补贴</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效益指标(30分)</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可持续影响指标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养老机构内入住人员</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大于等于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95</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养老机构责任保险期间结束后</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定性</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养老机构责任保险期间结束后继续投保</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社会效益指标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促进养老服务人才队伍建设</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定性</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促进养老服务人才队伍建设效果优良</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保障养老机构服务</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定性</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保障养老机构服务稳步提升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满意度指标(10分)</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服务对象满意度指标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养老护理员满意度</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大于等于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95</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r>
      <w:tr>
        <w:tblPrEx>
          <w:tblCellMar>
            <w:top w:w="0" w:type="dxa"/>
            <w:left w:w="0" w:type="dxa"/>
            <w:bottom w:w="0" w:type="dxa"/>
            <w:right w:w="0" w:type="dxa"/>
          </w:tblCellMar>
        </w:tblPrEx>
        <w:trPr>
          <w:trHeight w:val="525" w:hRule="atLeast"/>
        </w:trPr>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消防改造资金（2025年）</w:t>
            </w:r>
          </w:p>
        </w:tc>
        <w:tc>
          <w:tcPr>
            <w:tcW w:w="41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607003-锡林郭勒盟社会福利院</w:t>
            </w:r>
          </w:p>
        </w:tc>
        <w:tc>
          <w:tcPr>
            <w:tcW w:w="37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32-专项资金项目</w:t>
            </w:r>
          </w:p>
        </w:tc>
        <w:tc>
          <w:tcPr>
            <w:tcW w:w="468"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950,000.00</w:t>
            </w:r>
          </w:p>
        </w:tc>
        <w:tc>
          <w:tcPr>
            <w:tcW w:w="62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本次拨付项目资金95万元，主要包括委托业务费6万元和排烟改造系统工程89万元，以此来保障养老机构的消防安全，保障入住老人的安全。</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产出指标(50分)</w:t>
            </w: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成本指标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委托业务费资金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万元</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排烟改造系统资金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89</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万元</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数量指标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委托业务费</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笔</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排烟改造系统</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套</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时效指标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委托业务费支付及时率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大于等于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95</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排烟改造系统建设完成及时率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大于等于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95</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质量指标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排烟改造系统资金使用率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大于等于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95</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排烟改造系统验收合格率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大于等于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95</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效益指标(30分)</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可持续影响指标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排烟改造系统保障期</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大于等于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年</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社会效益指标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提升机构消防安全水平</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定性</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基本达标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w:t>
            </w:r>
          </w:p>
        </w:tc>
      </w:tr>
      <w:tr>
        <w:tblPrEx>
          <w:tblCellMar>
            <w:top w:w="0" w:type="dxa"/>
            <w:left w:w="0" w:type="dxa"/>
            <w:bottom w:w="0" w:type="dxa"/>
            <w:right w:w="0" w:type="dxa"/>
          </w:tblCellMar>
        </w:tblPrEx>
        <w:trPr>
          <w:trHeight w:val="525" w:hRule="atLeast"/>
        </w:trPr>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10"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hint="eastAsia" w:ascii="宋体" w:hAnsi="宋体" w:eastAsia="宋体" w:cs="宋体"/>
                <w:i w:val="0"/>
                <w:color w:val="000000"/>
                <w:sz w:val="24"/>
                <w:szCs w:val="24"/>
                <w:u w:val="none"/>
              </w:rPr>
            </w:pP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满意度指标(10分)</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服务对象满意度指标</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入住机构老人抽样满意度</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正向</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大于等于</w:t>
            </w: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95</w:t>
            </w: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r>
      <w:tr>
        <w:tblPrEx>
          <w:tblCellMar>
            <w:top w:w="0" w:type="dxa"/>
            <w:left w:w="0" w:type="dxa"/>
            <w:bottom w:w="0" w:type="dxa"/>
            <w:right w:w="0" w:type="dxa"/>
          </w:tblCellMar>
        </w:tblPrEx>
        <w:trPr>
          <w:trHeight w:val="525" w:hRule="atLeast"/>
        </w:trPr>
        <w:tc>
          <w:tcPr>
            <w:tcW w:w="41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center"/>
              <w:rPr>
                <w:rFonts w:hint="eastAsia" w:ascii="宋体" w:hAnsi="宋体" w:eastAsia="宋体" w:cs="宋体"/>
                <w:b/>
                <w:i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b/>
                <w:i w:val="0"/>
                <w:color w:val="000000"/>
                <w:sz w:val="24"/>
                <w:szCs w:val="24"/>
                <w:u w:val="none"/>
              </w:rPr>
            </w:pPr>
          </w:p>
        </w:tc>
        <w:tc>
          <w:tcPr>
            <w:tcW w:w="376"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b/>
                <w:i w:val="0"/>
                <w:color w:val="000000"/>
                <w:sz w:val="24"/>
                <w:szCs w:val="24"/>
                <w:u w:val="none"/>
              </w:rPr>
            </w:pPr>
          </w:p>
        </w:tc>
        <w:tc>
          <w:tcPr>
            <w:tcW w:w="468"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12,043,791.60</w:t>
            </w:r>
          </w:p>
        </w:tc>
        <w:tc>
          <w:tcPr>
            <w:tcW w:w="626"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b/>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b/>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b/>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b/>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b/>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b/>
                <w:i w:val="0"/>
                <w:color w:val="000000"/>
                <w:sz w:val="24"/>
                <w:szCs w:val="24"/>
                <w:u w:val="none"/>
              </w:rPr>
            </w:pPr>
          </w:p>
        </w:tc>
        <w:tc>
          <w:tcPr>
            <w:tcW w:w="28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b/>
                <w:i w:val="0"/>
                <w:color w:val="000000"/>
                <w:sz w:val="24"/>
                <w:szCs w:val="24"/>
                <w:u w:val="none"/>
              </w:rPr>
            </w:pPr>
          </w:p>
        </w:tc>
        <w:tc>
          <w:tcPr>
            <w:tcW w:w="360"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b/>
                <w:i w:val="0"/>
                <w:color w:val="000000"/>
                <w:sz w:val="24"/>
                <w:szCs w:val="24"/>
                <w:u w:val="none"/>
              </w:rPr>
            </w:pPr>
          </w:p>
        </w:tc>
        <w:tc>
          <w:tcPr>
            <w:tcW w:w="25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left"/>
              <w:rPr>
                <w:rFonts w:hint="eastAsia" w:ascii="宋体" w:hAnsi="宋体" w:eastAsia="宋体" w:cs="宋体"/>
                <w:b/>
                <w:i w:val="0"/>
                <w:color w:val="000000"/>
                <w:sz w:val="24"/>
                <w:szCs w:val="24"/>
                <w:u w:val="none"/>
              </w:rPr>
            </w:pPr>
          </w:p>
        </w:tc>
      </w:tr>
    </w:tbl>
    <w:p>
      <w:pPr>
        <w:pStyle w:val="2"/>
        <w:ind w:left="0" w:leftChars="0" w:firstLine="0" w:firstLineChars="0"/>
        <w:rPr>
          <w:rFonts w:hint="eastAsia" w:ascii="宋体" w:hAnsi="宋体" w:eastAsia="宋体" w:cs="宋体"/>
          <w:b w:val="0"/>
          <w:bCs w:val="0"/>
          <w:sz w:val="30"/>
          <w:szCs w:val="30"/>
        </w:rPr>
      </w:pPr>
    </w:p>
    <w:p>
      <w:pPr>
        <w:pStyle w:val="2"/>
        <w:ind w:left="0" w:leftChars="0" w:firstLine="0" w:firstLineChars="0"/>
        <w:rPr>
          <w:rFonts w:hint="eastAsia" w:ascii="宋体" w:hAnsi="宋体" w:eastAsia="宋体" w:cs="宋体"/>
          <w:b w:val="0"/>
          <w:bCs w:val="0"/>
          <w:sz w:val="30"/>
          <w:szCs w:val="30"/>
        </w:rPr>
      </w:pPr>
    </w:p>
    <w:p>
      <w:pPr>
        <w:pStyle w:val="2"/>
        <w:ind w:left="0" w:leftChars="0" w:firstLine="0" w:firstLineChars="0"/>
        <w:rPr>
          <w:rFonts w:hint="eastAsia" w:ascii="宋体" w:hAnsi="宋体" w:eastAsia="宋体" w:cs="宋体"/>
          <w:b w:val="0"/>
          <w:bCs w:val="0"/>
          <w:sz w:val="30"/>
          <w:szCs w:val="30"/>
        </w:rPr>
      </w:pPr>
    </w:p>
    <w:p>
      <w:pPr>
        <w:pStyle w:val="2"/>
        <w:ind w:left="0" w:leftChars="0" w:firstLine="0" w:firstLineChars="0"/>
        <w:rPr>
          <w:rFonts w:hint="eastAsia" w:ascii="宋体" w:hAnsi="宋体" w:eastAsia="宋体" w:cs="宋体"/>
          <w:b w:val="0"/>
          <w:bCs w:val="0"/>
          <w:sz w:val="30"/>
          <w:szCs w:val="30"/>
        </w:rPr>
      </w:pPr>
    </w:p>
    <w:p>
      <w:pPr>
        <w:pStyle w:val="2"/>
        <w:ind w:left="0" w:leftChars="0" w:firstLine="0" w:firstLineChars="0"/>
        <w:rPr>
          <w:rFonts w:hint="eastAsia" w:ascii="宋体" w:hAnsi="宋体" w:eastAsia="宋体" w:cs="宋体"/>
          <w:b w:val="0"/>
          <w:bCs w:val="0"/>
          <w:sz w:val="30"/>
          <w:szCs w:val="30"/>
        </w:rPr>
      </w:pPr>
    </w:p>
    <w:p>
      <w:pPr>
        <w:pStyle w:val="2"/>
        <w:ind w:left="0" w:leftChars="0" w:firstLine="0" w:firstLineChars="0"/>
        <w:rPr>
          <w:rFonts w:hint="eastAsia" w:ascii="宋体" w:hAnsi="宋体" w:eastAsia="宋体" w:cs="宋体"/>
          <w:b w:val="0"/>
          <w:bCs w:val="0"/>
          <w:sz w:val="30"/>
          <w:szCs w:val="30"/>
        </w:rPr>
      </w:pPr>
    </w:p>
    <w:p>
      <w:pPr>
        <w:pStyle w:val="2"/>
        <w:ind w:left="0" w:leftChars="0" w:firstLine="0" w:firstLineChars="0"/>
        <w:rPr>
          <w:rFonts w:hint="eastAsia" w:ascii="宋体" w:hAnsi="宋体" w:eastAsia="宋体" w:cs="宋体"/>
          <w:b w:val="0"/>
          <w:bCs w:val="0"/>
          <w:sz w:val="30"/>
          <w:szCs w:val="30"/>
        </w:rPr>
      </w:pPr>
    </w:p>
    <w:p>
      <w:pPr>
        <w:pStyle w:val="2"/>
        <w:ind w:left="0" w:leftChars="0" w:firstLine="0" w:firstLineChars="0"/>
        <w:rPr>
          <w:rFonts w:hint="eastAsia" w:ascii="宋体" w:hAnsi="宋体" w:eastAsia="宋体" w:cs="宋体"/>
          <w:b w:val="0"/>
          <w:bCs w:val="0"/>
          <w:sz w:val="30"/>
          <w:szCs w:val="30"/>
        </w:rPr>
      </w:pPr>
    </w:p>
    <w:tbl>
      <w:tblPr>
        <w:tblStyle w:val="19"/>
        <w:tblW w:w="0" w:type="auto"/>
        <w:tblInd w:w="0" w:type="dxa"/>
        <w:shd w:val="clear" w:color="auto" w:fill="auto"/>
        <w:tblLayout w:type="autofit"/>
        <w:tblCellMar>
          <w:top w:w="0" w:type="dxa"/>
          <w:left w:w="0" w:type="dxa"/>
          <w:bottom w:w="0" w:type="dxa"/>
          <w:right w:w="0" w:type="dxa"/>
        </w:tblCellMar>
      </w:tblPr>
      <w:tblGrid>
        <w:gridCol w:w="1022"/>
        <w:gridCol w:w="1022"/>
        <w:gridCol w:w="1049"/>
        <w:gridCol w:w="1123"/>
        <w:gridCol w:w="1098"/>
        <w:gridCol w:w="527"/>
        <w:gridCol w:w="527"/>
        <w:gridCol w:w="527"/>
        <w:gridCol w:w="520"/>
        <w:gridCol w:w="775"/>
        <w:gridCol w:w="899"/>
        <w:gridCol w:w="1023"/>
        <w:gridCol w:w="1023"/>
        <w:gridCol w:w="527"/>
        <w:gridCol w:w="1023"/>
        <w:gridCol w:w="775"/>
        <w:gridCol w:w="1023"/>
        <w:gridCol w:w="527"/>
      </w:tblGrid>
      <w:tr>
        <w:tblPrEx>
          <w:shd w:val="clear" w:color="auto" w:fill="auto"/>
          <w:tblCellMar>
            <w:top w:w="0" w:type="dxa"/>
            <w:left w:w="0" w:type="dxa"/>
            <w:bottom w:w="0" w:type="dxa"/>
            <w:right w:w="0" w:type="dxa"/>
          </w:tblCellMar>
        </w:tblPrEx>
        <w:trPr>
          <w:trHeight w:val="375" w:hRule="atLeast"/>
        </w:trPr>
        <w:tc>
          <w:tcPr>
            <w:tcW w:w="0" w:type="auto"/>
            <w:gridSpan w:val="18"/>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表12</w:t>
            </w:r>
          </w:p>
        </w:tc>
      </w:tr>
      <w:tr>
        <w:tblPrEx>
          <w:tblCellMar>
            <w:top w:w="0" w:type="dxa"/>
            <w:left w:w="0" w:type="dxa"/>
            <w:bottom w:w="0" w:type="dxa"/>
            <w:right w:w="0" w:type="dxa"/>
          </w:tblCellMar>
        </w:tblPrEx>
        <w:trPr>
          <w:trHeight w:val="715" w:hRule="atLeast"/>
        </w:trPr>
        <w:tc>
          <w:tcPr>
            <w:tcW w:w="0" w:type="auto"/>
            <w:gridSpan w:val="18"/>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2"/>
                <w:szCs w:val="32"/>
                <w:u w:val="none"/>
              </w:rPr>
            </w:pPr>
            <w:r>
              <w:rPr>
                <w:rFonts w:hint="eastAsia" w:ascii="宋体" w:hAnsi="宋体" w:eastAsia="宋体" w:cs="宋体"/>
                <w:b/>
                <w:i w:val="0"/>
                <w:color w:val="000000"/>
                <w:kern w:val="0"/>
                <w:sz w:val="32"/>
                <w:szCs w:val="32"/>
                <w:u w:val="none"/>
                <w:lang w:val="en-US" w:eastAsia="zh-CN" w:bidi="ar"/>
              </w:rPr>
              <w:t>政府采购预算表</w:t>
            </w:r>
          </w:p>
        </w:tc>
      </w:tr>
      <w:tr>
        <w:tblPrEx>
          <w:tblCellMar>
            <w:top w:w="0" w:type="dxa"/>
            <w:left w:w="0" w:type="dxa"/>
            <w:bottom w:w="0" w:type="dxa"/>
            <w:right w:w="0" w:type="dxa"/>
          </w:tblCellMar>
        </w:tblPrEx>
        <w:trPr>
          <w:trHeight w:val="270" w:hRule="atLeast"/>
        </w:trPr>
        <w:tc>
          <w:tcPr>
            <w:tcW w:w="0" w:type="auto"/>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1"/>
                <w:szCs w:val="21"/>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1"/>
                <w:szCs w:val="21"/>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1"/>
                <w:szCs w:val="21"/>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1"/>
                <w:szCs w:val="21"/>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1"/>
                <w:szCs w:val="21"/>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1"/>
                <w:szCs w:val="21"/>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1"/>
                <w:szCs w:val="21"/>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1"/>
                <w:szCs w:val="21"/>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1"/>
                <w:szCs w:val="21"/>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1"/>
                <w:szCs w:val="21"/>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1"/>
                <w:szCs w:val="21"/>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1"/>
                <w:szCs w:val="21"/>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1"/>
                <w:szCs w:val="21"/>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1"/>
                <w:szCs w:val="21"/>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1"/>
                <w:szCs w:val="21"/>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1"/>
                <w:szCs w:val="21"/>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eastAsia" w:ascii="宋体" w:hAnsi="宋体" w:eastAsia="宋体" w:cs="宋体"/>
                <w:i w:val="0"/>
                <w:color w:val="000000"/>
                <w:sz w:val="21"/>
                <w:szCs w:val="21"/>
                <w:u w:val="none"/>
              </w:rPr>
            </w:pPr>
          </w:p>
        </w:tc>
        <w:tc>
          <w:tcPr>
            <w:tcW w:w="0" w:type="auto"/>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单位：元</w:t>
            </w:r>
          </w:p>
        </w:tc>
      </w:tr>
      <w:tr>
        <w:tblPrEx>
          <w:tblCellMar>
            <w:top w:w="0" w:type="dxa"/>
            <w:left w:w="0" w:type="dxa"/>
            <w:bottom w:w="0" w:type="dxa"/>
            <w:right w:w="0" w:type="dxa"/>
          </w:tblCellMar>
        </w:tblPrEx>
        <w:trPr>
          <w:trHeight w:val="45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部门（单位）代码</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部门（单位）名称</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项目编码</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项目名称</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采购品目</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申报情况</w:t>
            </w:r>
          </w:p>
        </w:tc>
        <w:tc>
          <w:tcPr>
            <w:tcW w:w="0" w:type="auto"/>
            <w:gridSpan w:val="10"/>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资金性质</w:t>
            </w:r>
          </w:p>
        </w:tc>
      </w:tr>
      <w:tr>
        <w:tblPrEx>
          <w:tblCellMar>
            <w:top w:w="0" w:type="dxa"/>
            <w:left w:w="0" w:type="dxa"/>
            <w:bottom w:w="0" w:type="dxa"/>
            <w:right w:w="0" w:type="dxa"/>
          </w:tblCellMar>
        </w:tblPrEx>
        <w:trPr>
          <w:trHeight w:val="45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28"/>
                <w:szCs w:val="2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28"/>
                <w:szCs w:val="2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28"/>
                <w:szCs w:val="2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28"/>
                <w:szCs w:val="2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eastAsia" w:ascii="宋体" w:hAnsi="宋体" w:eastAsia="宋体" w:cs="宋体"/>
                <w:b/>
                <w:i w:val="0"/>
                <w:color w:val="000000"/>
                <w:sz w:val="28"/>
                <w:szCs w:val="2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申请数量</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单价(元)</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金额(元)</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一般公共预算</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政府性基金预算</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国有资本经营预算</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财政专户管理资金</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事业收入</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事业单位经营收入</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上级补助收入</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附属单位上缴收入</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其他收入</w:t>
            </w:r>
          </w:p>
        </w:tc>
      </w:tr>
      <w:tr>
        <w:tblPrEx>
          <w:tblCellMar>
            <w:top w:w="0" w:type="dxa"/>
            <w:left w:w="0" w:type="dxa"/>
            <w:bottom w:w="0" w:type="dxa"/>
            <w:right w:w="0" w:type="dxa"/>
          </w:tblCellMar>
        </w:tblPrEx>
        <w:trPr>
          <w:trHeight w:val="525"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607003</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锡林郭勒盟社会福利院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152500256072110000044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公用经费</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其他保险服务</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3,000.00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3,000.00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525"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152500256073210000027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消防改造资金（2025年）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消防工程和安防工程</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950000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950000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950,000.00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950,000.00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50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152500256072110000044</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公用经费</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复印纸</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23.3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4660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4,660.00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4,660.00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538"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车辆维修和保养服务</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1,000.00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1,000.00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9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纸制品</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5,000.00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5,000.00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65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车辆加油、添加燃料服务</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4,000.00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4,000.00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525" w:hRule="atLeast"/>
        </w:trPr>
        <w:tc>
          <w:tcPr>
            <w:tcW w:w="0" w:type="auto"/>
            <w:gridSpan w:val="5"/>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合  计</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214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967660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967,660.00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17,660.00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950,000.00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r>
    </w:tbl>
    <w:p>
      <w:pPr>
        <w:pStyle w:val="2"/>
        <w:ind w:left="0" w:leftChars="0" w:firstLine="0" w:firstLineChars="0"/>
        <w:rPr>
          <w:rFonts w:hint="eastAsia" w:ascii="宋体" w:hAnsi="宋体" w:eastAsia="宋体" w:cs="宋体"/>
          <w:b w:val="0"/>
          <w:bCs w:val="0"/>
          <w:vanish/>
          <w:sz w:val="30"/>
          <w:szCs w:val="30"/>
        </w:rPr>
      </w:pPr>
    </w:p>
    <w:sectPr>
      <w:pgSz w:w="16840" w:h="11910" w:orient="landscape"/>
      <w:pgMar w:top="1080" w:right="1580" w:bottom="1080" w:left="280" w:header="720" w:footer="720" w:gutter="0"/>
      <w:pgNumType w:fmt="numberInDash"/>
      <w:cols w:space="720" w:num="1"/>
      <w:docGrid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B7BBA4FF-D762-4EA0-8286-4BBA14CE6EDC}"/>
  </w:font>
  <w:font w:name="黑体">
    <w:panose1 w:val="02010609060101010101"/>
    <w:charset w:val="86"/>
    <w:family w:val="auto"/>
    <w:pitch w:val="default"/>
    <w:sig w:usb0="800002BF" w:usb1="38CF7CFA" w:usb2="00000016" w:usb3="00000000" w:csb0="00040001" w:csb1="00000000"/>
    <w:embedRegular r:id="rId2" w:fontKey="{AF5B13A7-2B4E-4E45-9856-A5A0EE4A7FD9}"/>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embedRegular r:id="rId3" w:fontKey="{4C6F4367-71E7-4741-AF0B-E7D8046446C1}"/>
  </w:font>
  <w:font w:name="Calibri">
    <w:panose1 w:val="020F0502020204030204"/>
    <w:charset w:val="00"/>
    <w:family w:val="swiss"/>
    <w:pitch w:val="default"/>
    <w:sig w:usb0="E00002FF" w:usb1="4000ACFF" w:usb2="00000001" w:usb3="00000000" w:csb0="2000019F" w:csb1="00000000"/>
  </w:font>
  <w:font w:name="等线 Light">
    <w:altName w:val="宋体"/>
    <w:panose1 w:val="02010600030101010101"/>
    <w:charset w:val="86"/>
    <w:family w:val="auto"/>
    <w:pitch w:val="default"/>
    <w:sig w:usb0="00000000" w:usb1="00000000" w:usb2="00000016" w:usb3="00000000" w:csb0="0004000F" w:csb1="00000000"/>
  </w:font>
  <w:font w:name="仿宋_GB2312">
    <w:altName w:val="仿宋"/>
    <w:panose1 w:val="02010609030101010101"/>
    <w:charset w:val="86"/>
    <w:family w:val="decorative"/>
    <w:pitch w:val="default"/>
    <w:sig w:usb0="00000000" w:usb1="00000000" w:usb2="00000000" w:usb3="00000000" w:csb0="00000000" w:csb1="00000000"/>
  </w:font>
  <w:font w:name="等线">
    <w:altName w:val="微软雅黑"/>
    <w:panose1 w:val="02010600030101010101"/>
    <w:charset w:val="86"/>
    <w:family w:val="auto"/>
    <w:pitch w:val="default"/>
    <w:sig w:usb0="00000000" w:usb1="00000000" w:usb2="00000016" w:usb3="00000000" w:csb0="0004000F" w:csb1="00000000"/>
  </w:font>
  <w:font w:name="Helvetica">
    <w:altName w:val="Arial"/>
    <w:panose1 w:val="020B0604020202020204"/>
    <w:charset w:val="00"/>
    <w:family w:val="roman"/>
    <w:pitch w:val="default"/>
    <w:sig w:usb0="00000000" w:usb1="00000000" w:usb2="00000000" w:usb3="00000000" w:csb0="00000001" w:csb1="00000000"/>
  </w:font>
  <w:font w:name="Courier">
    <w:altName w:val="Courier New"/>
    <w:panose1 w:val="02070409020205020404"/>
    <w:charset w:val="00"/>
    <w:family w:val="decorative"/>
    <w:pitch w:val="default"/>
    <w:sig w:usb0="00000000" w:usb1="00000000" w:usb2="00000000" w:usb3="00000000" w:csb0="00000001" w:csb1="00000000"/>
  </w:font>
  <w:font w:name="Tms Rmn">
    <w:altName w:val="Segoe Print"/>
    <w:panose1 w:val="02020603040505020304"/>
    <w:charset w:val="00"/>
    <w:family w:val="swiss"/>
    <w:pitch w:val="default"/>
    <w:sig w:usb0="00000000" w:usb1="00000000" w:usb2="00000000" w:usb3="00000000" w:csb0="00000001" w:csb1="00000000"/>
  </w:font>
  <w:font w:name="Helv">
    <w:altName w:val="Arial"/>
    <w:panose1 w:val="020B0604020202030204"/>
    <w:charset w:val="00"/>
    <w:family w:val="roman"/>
    <w:pitch w:val="default"/>
    <w:sig w:usb0="00000000" w:usb1="00000000" w:usb2="00000000" w:usb3="00000000" w:csb0="00000001" w:csb1="00000000"/>
  </w:font>
  <w:font w:name="New York">
    <w:altName w:val="Times New Roman"/>
    <w:panose1 w:val="02040503060506020304"/>
    <w:charset w:val="00"/>
    <w:family w:val="swiss"/>
    <w:pitch w:val="default"/>
    <w:sig w:usb0="00000000" w:usb1="00000000" w:usb2="00000000" w:usb3="00000000" w:csb0="00000001" w:csb1="00000000"/>
  </w:font>
  <w:font w:name="Arial Unicode MS">
    <w:altName w:val="宋体"/>
    <w:panose1 w:val="020B0604020202020204"/>
    <w:charset w:val="86"/>
    <w:family w:val="roman"/>
    <w:pitch w:val="default"/>
    <w:sig w:usb0="00000000" w:usb1="00000000" w:usb2="0000003F" w:usb3="00000000" w:csb0="603F01FF" w:csb1="FFFF0000"/>
  </w:font>
  <w:font w:name="仿宋">
    <w:panose1 w:val="02010609060101010101"/>
    <w:charset w:val="86"/>
    <w:family w:val="auto"/>
    <w:pitch w:val="default"/>
    <w:sig w:usb0="800002BF" w:usb1="38CF7CFA" w:usb2="00000016" w:usb3="00000000" w:csb0="00040001" w:csb1="00000000"/>
    <w:embedRegular r:id="rId4" w:fontKey="{4C3D608B-BC7C-473E-ACC1-5985FADFB6DE}"/>
  </w:font>
  <w:font w:name="Segoe UI">
    <w:panose1 w:val="020B0502040204020203"/>
    <w:charset w:val="00"/>
    <w:family w:val="auto"/>
    <w:pitch w:val="default"/>
    <w:sig w:usb0="E10022FF" w:usb1="C000E47F" w:usb2="00000029" w:usb3="00000000" w:csb0="200001DF" w:csb1="20000000"/>
    <w:embedRegular r:id="rId5" w:fontKey="{2F77746F-702A-46CC-8724-BE2C984FD639}"/>
  </w:font>
  <w:font w:name="等线">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96" name="文本框 19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- 19 -</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ZTuoktAgAAWQQAAA4AAABkcnMvZTJvRG9jLnhtbK1UzY7TMBC+I/EO&#10;lu80aRFVqZ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HZTuoktAgAAWQQAAA4AAAAAAAAAAQAgAAAAHwEAAGRycy9lMm9Eb2MueG1sUEsFBgAAAAAG&#10;AAYAWQEAAL4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- 19 -</w:t>
                    </w:r>
                    <w:r>
                      <w:fldChar w:fldCharType="end"/>
                    </w:r>
                  </w:p>
                </w:txbxContent>
              </v:textbox>
            </v:shape>
          </w:pict>
        </mc:Fallback>
      </mc:AlternateContent>
    </w:r>
  </w:p>
  <w:p>
    <w:pPr>
      <w:pStyle w:val="1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left="60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8BFBC52"/>
    <w:multiLevelType w:val="singleLevel"/>
    <w:tmpl w:val="98BFBC52"/>
    <w:lvl w:ilvl="0" w:tentative="0">
      <w:start w:val="1"/>
      <w:numFmt w:val="decimal"/>
      <w:suff w:val="nothing"/>
      <w:lvlText w:val="%1．"/>
      <w:lvlJc w:val="left"/>
    </w:lvl>
  </w:abstractNum>
  <w:abstractNum w:abstractNumId="1">
    <w:nsid w:val="0D4BF785"/>
    <w:multiLevelType w:val="singleLevel"/>
    <w:tmpl w:val="0D4BF785"/>
    <w:lvl w:ilvl="0" w:tentative="0">
      <w:start w:val="1"/>
      <w:numFmt w:val="chineseCounting"/>
      <w:suff w:val="nothing"/>
      <w:lvlText w:val="（%1）"/>
      <w:lvlJc w:val="left"/>
      <w:rPr>
        <w:rFonts w:hint="eastAsia"/>
      </w:rPr>
    </w:lvl>
  </w:abstractNum>
  <w:abstractNum w:abstractNumId="2">
    <w:nsid w:val="166D1CF1"/>
    <w:multiLevelType w:val="singleLevel"/>
    <w:tmpl w:val="166D1CF1"/>
    <w:lvl w:ilvl="0" w:tentative="0">
      <w:start w:val="2"/>
      <w:numFmt w:val="decimal"/>
      <w:suff w:val="nothing"/>
      <w:lvlText w:val="%1、"/>
      <w:lvlJc w:val="left"/>
    </w:lvl>
  </w:abstractNum>
  <w:abstractNum w:abstractNumId="3">
    <w:nsid w:val="238F8E4F"/>
    <w:multiLevelType w:val="singleLevel"/>
    <w:tmpl w:val="238F8E4F"/>
    <w:lvl w:ilvl="0" w:tentative="0">
      <w:start w:val="1"/>
      <w:numFmt w:val="decimal"/>
      <w:suff w:val="nothing"/>
      <w:lvlText w:val="（%1）"/>
      <w:lvlJc w:val="left"/>
    </w:lvl>
  </w:abstractNum>
  <w:abstractNum w:abstractNumId="4">
    <w:nsid w:val="3265B7C3"/>
    <w:multiLevelType w:val="singleLevel"/>
    <w:tmpl w:val="3265B7C3"/>
    <w:lvl w:ilvl="0" w:tentative="0">
      <w:start w:val="1"/>
      <w:numFmt w:val="chineseCounting"/>
      <w:suff w:val="nothing"/>
      <w:lvlText w:val="%1、"/>
      <w:lvlJc w:val="left"/>
      <w:rPr>
        <w:rFonts w:hint="eastAsia"/>
      </w:rPr>
    </w:lvl>
  </w:abstractNum>
  <w:abstractNum w:abstractNumId="5">
    <w:nsid w:val="4EC74364"/>
    <w:multiLevelType w:val="singleLevel"/>
    <w:tmpl w:val="4EC74364"/>
    <w:lvl w:ilvl="0" w:tentative="0">
      <w:start w:val="1"/>
      <w:numFmt w:val="chineseCounting"/>
      <w:suff w:val="nothing"/>
      <w:lvlText w:val="%1、"/>
      <w:lvlJc w:val="left"/>
      <w:rPr>
        <w:rFonts w:hint="eastAsia"/>
      </w:rPr>
    </w:lvl>
  </w:abstractNum>
  <w:num w:numId="1">
    <w:abstractNumId w:val="5"/>
  </w:num>
  <w:num w:numId="2">
    <w:abstractNumId w:val="4"/>
  </w:num>
  <w:num w:numId="3">
    <w:abstractNumId w:val="2"/>
  </w:num>
  <w:num w:numId="4">
    <w:abstractNumId w:val="1"/>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yOTA5YzIxNDIxNWFhMmQ5ZDViM2ZkNjAxNzE0M2UifQ=="/>
  </w:docVars>
  <w:rsids>
    <w:rsidRoot w:val="00172A27"/>
    <w:rsid w:val="00000CBF"/>
    <w:rsid w:val="000034CD"/>
    <w:rsid w:val="00003B87"/>
    <w:rsid w:val="000106AF"/>
    <w:rsid w:val="00010F09"/>
    <w:rsid w:val="00010F57"/>
    <w:rsid w:val="00014729"/>
    <w:rsid w:val="000168E2"/>
    <w:rsid w:val="00016E30"/>
    <w:rsid w:val="0001778D"/>
    <w:rsid w:val="00023930"/>
    <w:rsid w:val="0002537D"/>
    <w:rsid w:val="000267C9"/>
    <w:rsid w:val="000316D6"/>
    <w:rsid w:val="00034C3D"/>
    <w:rsid w:val="00035935"/>
    <w:rsid w:val="00035BD9"/>
    <w:rsid w:val="00037650"/>
    <w:rsid w:val="000408B3"/>
    <w:rsid w:val="000409C6"/>
    <w:rsid w:val="00040A7B"/>
    <w:rsid w:val="0004437D"/>
    <w:rsid w:val="00044D5A"/>
    <w:rsid w:val="000517C8"/>
    <w:rsid w:val="00052722"/>
    <w:rsid w:val="00052AB3"/>
    <w:rsid w:val="000530B5"/>
    <w:rsid w:val="000547DF"/>
    <w:rsid w:val="0005634A"/>
    <w:rsid w:val="00056E21"/>
    <w:rsid w:val="00063642"/>
    <w:rsid w:val="00065474"/>
    <w:rsid w:val="00071596"/>
    <w:rsid w:val="00073EED"/>
    <w:rsid w:val="00080B1C"/>
    <w:rsid w:val="00082025"/>
    <w:rsid w:val="000843F5"/>
    <w:rsid w:val="00084B87"/>
    <w:rsid w:val="00084C61"/>
    <w:rsid w:val="00084EE5"/>
    <w:rsid w:val="00085C93"/>
    <w:rsid w:val="00087A5E"/>
    <w:rsid w:val="00090945"/>
    <w:rsid w:val="00094212"/>
    <w:rsid w:val="00094289"/>
    <w:rsid w:val="00094579"/>
    <w:rsid w:val="0009486F"/>
    <w:rsid w:val="00097AD5"/>
    <w:rsid w:val="00097E70"/>
    <w:rsid w:val="000A3463"/>
    <w:rsid w:val="000A3CBA"/>
    <w:rsid w:val="000B179A"/>
    <w:rsid w:val="000B19DD"/>
    <w:rsid w:val="000B271C"/>
    <w:rsid w:val="000B3090"/>
    <w:rsid w:val="000B395D"/>
    <w:rsid w:val="000B4C87"/>
    <w:rsid w:val="000B5E2F"/>
    <w:rsid w:val="000B75C9"/>
    <w:rsid w:val="000C2547"/>
    <w:rsid w:val="000C2657"/>
    <w:rsid w:val="000C3B4A"/>
    <w:rsid w:val="000C7570"/>
    <w:rsid w:val="000D1A18"/>
    <w:rsid w:val="000D4710"/>
    <w:rsid w:val="000E093A"/>
    <w:rsid w:val="000E597B"/>
    <w:rsid w:val="000E63BF"/>
    <w:rsid w:val="000F0BD4"/>
    <w:rsid w:val="000F344F"/>
    <w:rsid w:val="000F6C2D"/>
    <w:rsid w:val="000F7468"/>
    <w:rsid w:val="000F746A"/>
    <w:rsid w:val="00102140"/>
    <w:rsid w:val="00106E16"/>
    <w:rsid w:val="001114EC"/>
    <w:rsid w:val="00112A96"/>
    <w:rsid w:val="001133DF"/>
    <w:rsid w:val="00114F9E"/>
    <w:rsid w:val="001151B8"/>
    <w:rsid w:val="00122854"/>
    <w:rsid w:val="00122B22"/>
    <w:rsid w:val="00123EEA"/>
    <w:rsid w:val="00126508"/>
    <w:rsid w:val="001329DF"/>
    <w:rsid w:val="001342A7"/>
    <w:rsid w:val="001357A3"/>
    <w:rsid w:val="00142E3E"/>
    <w:rsid w:val="001432CD"/>
    <w:rsid w:val="0014381D"/>
    <w:rsid w:val="0014464F"/>
    <w:rsid w:val="00152205"/>
    <w:rsid w:val="00153AFD"/>
    <w:rsid w:val="00155332"/>
    <w:rsid w:val="00155E13"/>
    <w:rsid w:val="00157214"/>
    <w:rsid w:val="001602D6"/>
    <w:rsid w:val="00163244"/>
    <w:rsid w:val="00163F67"/>
    <w:rsid w:val="00172A27"/>
    <w:rsid w:val="001735FD"/>
    <w:rsid w:val="001738CA"/>
    <w:rsid w:val="00175368"/>
    <w:rsid w:val="001802D6"/>
    <w:rsid w:val="00191536"/>
    <w:rsid w:val="00193879"/>
    <w:rsid w:val="001940E1"/>
    <w:rsid w:val="00196BA0"/>
    <w:rsid w:val="0019719A"/>
    <w:rsid w:val="001A02B5"/>
    <w:rsid w:val="001A1BDF"/>
    <w:rsid w:val="001A2F89"/>
    <w:rsid w:val="001A3158"/>
    <w:rsid w:val="001A3CE2"/>
    <w:rsid w:val="001A5241"/>
    <w:rsid w:val="001B012D"/>
    <w:rsid w:val="001B0DDF"/>
    <w:rsid w:val="001B1449"/>
    <w:rsid w:val="001B3621"/>
    <w:rsid w:val="001B4457"/>
    <w:rsid w:val="001B5368"/>
    <w:rsid w:val="001B5EC9"/>
    <w:rsid w:val="001B7FCD"/>
    <w:rsid w:val="001C0CDF"/>
    <w:rsid w:val="001C4010"/>
    <w:rsid w:val="001C6BF1"/>
    <w:rsid w:val="001D3C7E"/>
    <w:rsid w:val="001D6D0B"/>
    <w:rsid w:val="001D7958"/>
    <w:rsid w:val="001E0433"/>
    <w:rsid w:val="001E0815"/>
    <w:rsid w:val="001E3429"/>
    <w:rsid w:val="001E68D8"/>
    <w:rsid w:val="001E76DB"/>
    <w:rsid w:val="001F4C1E"/>
    <w:rsid w:val="001F6B7A"/>
    <w:rsid w:val="00200204"/>
    <w:rsid w:val="002015D3"/>
    <w:rsid w:val="002039F1"/>
    <w:rsid w:val="002044DF"/>
    <w:rsid w:val="002049F7"/>
    <w:rsid w:val="0021312E"/>
    <w:rsid w:val="0021383F"/>
    <w:rsid w:val="00214BEE"/>
    <w:rsid w:val="0021585B"/>
    <w:rsid w:val="0021600A"/>
    <w:rsid w:val="0021726C"/>
    <w:rsid w:val="00217770"/>
    <w:rsid w:val="00220C2A"/>
    <w:rsid w:val="00221E65"/>
    <w:rsid w:val="002240B1"/>
    <w:rsid w:val="0022415F"/>
    <w:rsid w:val="00224835"/>
    <w:rsid w:val="00224F3D"/>
    <w:rsid w:val="00225C23"/>
    <w:rsid w:val="00233D9B"/>
    <w:rsid w:val="00236FA6"/>
    <w:rsid w:val="00240094"/>
    <w:rsid w:val="00241B6B"/>
    <w:rsid w:val="002431E6"/>
    <w:rsid w:val="0024416D"/>
    <w:rsid w:val="00244B90"/>
    <w:rsid w:val="00245FFD"/>
    <w:rsid w:val="0025052F"/>
    <w:rsid w:val="0025133B"/>
    <w:rsid w:val="002519F2"/>
    <w:rsid w:val="00251E52"/>
    <w:rsid w:val="00252024"/>
    <w:rsid w:val="00252295"/>
    <w:rsid w:val="002604EC"/>
    <w:rsid w:val="0026390E"/>
    <w:rsid w:val="00266811"/>
    <w:rsid w:val="00266E55"/>
    <w:rsid w:val="002670EA"/>
    <w:rsid w:val="00270D49"/>
    <w:rsid w:val="002742F8"/>
    <w:rsid w:val="002748BD"/>
    <w:rsid w:val="00274A4D"/>
    <w:rsid w:val="00274E33"/>
    <w:rsid w:val="00286355"/>
    <w:rsid w:val="00286B1A"/>
    <w:rsid w:val="00287D92"/>
    <w:rsid w:val="00290958"/>
    <w:rsid w:val="00291FC4"/>
    <w:rsid w:val="002926AE"/>
    <w:rsid w:val="00293A42"/>
    <w:rsid w:val="00293F3B"/>
    <w:rsid w:val="00294D1F"/>
    <w:rsid w:val="002A1A3B"/>
    <w:rsid w:val="002A25F0"/>
    <w:rsid w:val="002A38DC"/>
    <w:rsid w:val="002A3F94"/>
    <w:rsid w:val="002A4CC2"/>
    <w:rsid w:val="002B0E96"/>
    <w:rsid w:val="002B21CC"/>
    <w:rsid w:val="002B3658"/>
    <w:rsid w:val="002B37C5"/>
    <w:rsid w:val="002B7E88"/>
    <w:rsid w:val="002D028A"/>
    <w:rsid w:val="002D2D64"/>
    <w:rsid w:val="002D3180"/>
    <w:rsid w:val="002D4EA7"/>
    <w:rsid w:val="002D6124"/>
    <w:rsid w:val="002D6167"/>
    <w:rsid w:val="002D70B8"/>
    <w:rsid w:val="002D7791"/>
    <w:rsid w:val="002D7AEB"/>
    <w:rsid w:val="002D7FE5"/>
    <w:rsid w:val="002F0AEA"/>
    <w:rsid w:val="002F0CEB"/>
    <w:rsid w:val="002F1022"/>
    <w:rsid w:val="002F2712"/>
    <w:rsid w:val="002F73C2"/>
    <w:rsid w:val="002F7AA1"/>
    <w:rsid w:val="0030209D"/>
    <w:rsid w:val="00304A27"/>
    <w:rsid w:val="0030703E"/>
    <w:rsid w:val="00307477"/>
    <w:rsid w:val="003115CC"/>
    <w:rsid w:val="00313750"/>
    <w:rsid w:val="00316EA0"/>
    <w:rsid w:val="00321A3C"/>
    <w:rsid w:val="0033160F"/>
    <w:rsid w:val="00331DB0"/>
    <w:rsid w:val="003337F4"/>
    <w:rsid w:val="00334CE7"/>
    <w:rsid w:val="00335EEB"/>
    <w:rsid w:val="00337D32"/>
    <w:rsid w:val="003406D1"/>
    <w:rsid w:val="0034673B"/>
    <w:rsid w:val="00351751"/>
    <w:rsid w:val="00351CBC"/>
    <w:rsid w:val="00352172"/>
    <w:rsid w:val="00355342"/>
    <w:rsid w:val="00356692"/>
    <w:rsid w:val="00356F2E"/>
    <w:rsid w:val="003575C9"/>
    <w:rsid w:val="0036025D"/>
    <w:rsid w:val="00361339"/>
    <w:rsid w:val="003617B4"/>
    <w:rsid w:val="003631E0"/>
    <w:rsid w:val="003655C7"/>
    <w:rsid w:val="003666F6"/>
    <w:rsid w:val="00367F5C"/>
    <w:rsid w:val="00367FEB"/>
    <w:rsid w:val="00370C21"/>
    <w:rsid w:val="0037119D"/>
    <w:rsid w:val="00371460"/>
    <w:rsid w:val="00371E38"/>
    <w:rsid w:val="00374C99"/>
    <w:rsid w:val="00374EC2"/>
    <w:rsid w:val="00375717"/>
    <w:rsid w:val="00377F83"/>
    <w:rsid w:val="00385C9F"/>
    <w:rsid w:val="00385D9C"/>
    <w:rsid w:val="00386A78"/>
    <w:rsid w:val="00387B4F"/>
    <w:rsid w:val="00387FDC"/>
    <w:rsid w:val="003900E4"/>
    <w:rsid w:val="003908AD"/>
    <w:rsid w:val="003944BB"/>
    <w:rsid w:val="003945B5"/>
    <w:rsid w:val="00394D62"/>
    <w:rsid w:val="00395D0B"/>
    <w:rsid w:val="00397362"/>
    <w:rsid w:val="003A003A"/>
    <w:rsid w:val="003A1185"/>
    <w:rsid w:val="003A3E3C"/>
    <w:rsid w:val="003A4972"/>
    <w:rsid w:val="003B4A14"/>
    <w:rsid w:val="003B5570"/>
    <w:rsid w:val="003C31AB"/>
    <w:rsid w:val="003C35CD"/>
    <w:rsid w:val="003C43EA"/>
    <w:rsid w:val="003C4F65"/>
    <w:rsid w:val="003C53D2"/>
    <w:rsid w:val="003C7866"/>
    <w:rsid w:val="003D0971"/>
    <w:rsid w:val="003D3C90"/>
    <w:rsid w:val="003D5CBF"/>
    <w:rsid w:val="003E02C3"/>
    <w:rsid w:val="003E18C9"/>
    <w:rsid w:val="003F567D"/>
    <w:rsid w:val="003F7782"/>
    <w:rsid w:val="00400588"/>
    <w:rsid w:val="00406AC9"/>
    <w:rsid w:val="0041073B"/>
    <w:rsid w:val="0041167C"/>
    <w:rsid w:val="004138A8"/>
    <w:rsid w:val="0041426C"/>
    <w:rsid w:val="00416FDF"/>
    <w:rsid w:val="00417B37"/>
    <w:rsid w:val="0042054B"/>
    <w:rsid w:val="00420D95"/>
    <w:rsid w:val="004253B8"/>
    <w:rsid w:val="00425ED7"/>
    <w:rsid w:val="00426740"/>
    <w:rsid w:val="00427C2F"/>
    <w:rsid w:val="0043128C"/>
    <w:rsid w:val="00434D44"/>
    <w:rsid w:val="0044228B"/>
    <w:rsid w:val="00442688"/>
    <w:rsid w:val="00442AED"/>
    <w:rsid w:val="00442D5D"/>
    <w:rsid w:val="00444B82"/>
    <w:rsid w:val="004459F0"/>
    <w:rsid w:val="00454633"/>
    <w:rsid w:val="00454737"/>
    <w:rsid w:val="00455BF8"/>
    <w:rsid w:val="00456DB3"/>
    <w:rsid w:val="00456EAD"/>
    <w:rsid w:val="004604FE"/>
    <w:rsid w:val="004611A8"/>
    <w:rsid w:val="00461737"/>
    <w:rsid w:val="00467117"/>
    <w:rsid w:val="00467D70"/>
    <w:rsid w:val="00467DC5"/>
    <w:rsid w:val="004702DB"/>
    <w:rsid w:val="00473D33"/>
    <w:rsid w:val="004769DB"/>
    <w:rsid w:val="00481EB5"/>
    <w:rsid w:val="00482B89"/>
    <w:rsid w:val="004833E7"/>
    <w:rsid w:val="00483401"/>
    <w:rsid w:val="00491B17"/>
    <w:rsid w:val="004931F8"/>
    <w:rsid w:val="00494023"/>
    <w:rsid w:val="004967F7"/>
    <w:rsid w:val="00497241"/>
    <w:rsid w:val="004A1F81"/>
    <w:rsid w:val="004A20B6"/>
    <w:rsid w:val="004A2789"/>
    <w:rsid w:val="004A2DF3"/>
    <w:rsid w:val="004A2FCA"/>
    <w:rsid w:val="004A3875"/>
    <w:rsid w:val="004A7AF4"/>
    <w:rsid w:val="004B048E"/>
    <w:rsid w:val="004B143B"/>
    <w:rsid w:val="004B174D"/>
    <w:rsid w:val="004B5933"/>
    <w:rsid w:val="004C500C"/>
    <w:rsid w:val="004C5FFC"/>
    <w:rsid w:val="004C74F7"/>
    <w:rsid w:val="004D1253"/>
    <w:rsid w:val="004D158E"/>
    <w:rsid w:val="004D281F"/>
    <w:rsid w:val="004D2861"/>
    <w:rsid w:val="004D5666"/>
    <w:rsid w:val="004D6BB1"/>
    <w:rsid w:val="004D7A03"/>
    <w:rsid w:val="004D7DBF"/>
    <w:rsid w:val="004E0454"/>
    <w:rsid w:val="004E06ED"/>
    <w:rsid w:val="004E1457"/>
    <w:rsid w:val="004E4A43"/>
    <w:rsid w:val="004E4BBF"/>
    <w:rsid w:val="004F2CDD"/>
    <w:rsid w:val="004F4D87"/>
    <w:rsid w:val="004F55CD"/>
    <w:rsid w:val="004F58A0"/>
    <w:rsid w:val="004F5F12"/>
    <w:rsid w:val="004F6692"/>
    <w:rsid w:val="004F77B0"/>
    <w:rsid w:val="00501EEF"/>
    <w:rsid w:val="00502A31"/>
    <w:rsid w:val="00505021"/>
    <w:rsid w:val="00506790"/>
    <w:rsid w:val="00510EFF"/>
    <w:rsid w:val="00511B53"/>
    <w:rsid w:val="005146EE"/>
    <w:rsid w:val="005160E3"/>
    <w:rsid w:val="005161E3"/>
    <w:rsid w:val="00516B40"/>
    <w:rsid w:val="005203F0"/>
    <w:rsid w:val="00521E09"/>
    <w:rsid w:val="00525EB0"/>
    <w:rsid w:val="00535551"/>
    <w:rsid w:val="0053664B"/>
    <w:rsid w:val="00540718"/>
    <w:rsid w:val="00540B71"/>
    <w:rsid w:val="00541F46"/>
    <w:rsid w:val="0054292B"/>
    <w:rsid w:val="005440BF"/>
    <w:rsid w:val="0054661A"/>
    <w:rsid w:val="00552574"/>
    <w:rsid w:val="00554DCA"/>
    <w:rsid w:val="00556C59"/>
    <w:rsid w:val="00557E0E"/>
    <w:rsid w:val="005604D0"/>
    <w:rsid w:val="005614CC"/>
    <w:rsid w:val="005615F3"/>
    <w:rsid w:val="0056225D"/>
    <w:rsid w:val="00562E92"/>
    <w:rsid w:val="00563765"/>
    <w:rsid w:val="005639FA"/>
    <w:rsid w:val="0056420B"/>
    <w:rsid w:val="00564ABA"/>
    <w:rsid w:val="005653F5"/>
    <w:rsid w:val="00571BB6"/>
    <w:rsid w:val="00572A14"/>
    <w:rsid w:val="0057572A"/>
    <w:rsid w:val="00576A02"/>
    <w:rsid w:val="0058236D"/>
    <w:rsid w:val="00582BA2"/>
    <w:rsid w:val="00583D19"/>
    <w:rsid w:val="0058789A"/>
    <w:rsid w:val="00593F60"/>
    <w:rsid w:val="00594E72"/>
    <w:rsid w:val="00594E89"/>
    <w:rsid w:val="00595732"/>
    <w:rsid w:val="005957A8"/>
    <w:rsid w:val="005A0020"/>
    <w:rsid w:val="005A0592"/>
    <w:rsid w:val="005A09E0"/>
    <w:rsid w:val="005A1BC7"/>
    <w:rsid w:val="005A7383"/>
    <w:rsid w:val="005B155E"/>
    <w:rsid w:val="005B1651"/>
    <w:rsid w:val="005B1D05"/>
    <w:rsid w:val="005B544A"/>
    <w:rsid w:val="005B570B"/>
    <w:rsid w:val="005B5ECD"/>
    <w:rsid w:val="005C5D3B"/>
    <w:rsid w:val="005C773C"/>
    <w:rsid w:val="005D2118"/>
    <w:rsid w:val="005D476C"/>
    <w:rsid w:val="005D5AEF"/>
    <w:rsid w:val="005E031D"/>
    <w:rsid w:val="005E2226"/>
    <w:rsid w:val="005F007E"/>
    <w:rsid w:val="005F22D5"/>
    <w:rsid w:val="005F2659"/>
    <w:rsid w:val="005F3198"/>
    <w:rsid w:val="005F5238"/>
    <w:rsid w:val="005F5B86"/>
    <w:rsid w:val="00603A8C"/>
    <w:rsid w:val="00607135"/>
    <w:rsid w:val="00610D76"/>
    <w:rsid w:val="0061425B"/>
    <w:rsid w:val="00615CCA"/>
    <w:rsid w:val="00616504"/>
    <w:rsid w:val="00616551"/>
    <w:rsid w:val="00617C3C"/>
    <w:rsid w:val="00623384"/>
    <w:rsid w:val="006236AD"/>
    <w:rsid w:val="0063195F"/>
    <w:rsid w:val="00632944"/>
    <w:rsid w:val="006355A9"/>
    <w:rsid w:val="00637A4F"/>
    <w:rsid w:val="00641CD5"/>
    <w:rsid w:val="00642BB6"/>
    <w:rsid w:val="00644031"/>
    <w:rsid w:val="00644FBC"/>
    <w:rsid w:val="00647134"/>
    <w:rsid w:val="00652DB9"/>
    <w:rsid w:val="0065703E"/>
    <w:rsid w:val="006575E7"/>
    <w:rsid w:val="00657673"/>
    <w:rsid w:val="00661E32"/>
    <w:rsid w:val="00662CCA"/>
    <w:rsid w:val="00662EC6"/>
    <w:rsid w:val="00662F26"/>
    <w:rsid w:val="00665B56"/>
    <w:rsid w:val="006720DF"/>
    <w:rsid w:val="00672743"/>
    <w:rsid w:val="00681E9C"/>
    <w:rsid w:val="00682B2E"/>
    <w:rsid w:val="00683341"/>
    <w:rsid w:val="006853C1"/>
    <w:rsid w:val="0068695A"/>
    <w:rsid w:val="00686C54"/>
    <w:rsid w:val="00687D34"/>
    <w:rsid w:val="00691B56"/>
    <w:rsid w:val="00691CC7"/>
    <w:rsid w:val="00691D88"/>
    <w:rsid w:val="00693C36"/>
    <w:rsid w:val="0069508B"/>
    <w:rsid w:val="00695904"/>
    <w:rsid w:val="006966EC"/>
    <w:rsid w:val="0069730F"/>
    <w:rsid w:val="00697930"/>
    <w:rsid w:val="006A0A1B"/>
    <w:rsid w:val="006A1B40"/>
    <w:rsid w:val="006A29F4"/>
    <w:rsid w:val="006A33FD"/>
    <w:rsid w:val="006A4D49"/>
    <w:rsid w:val="006A5098"/>
    <w:rsid w:val="006A623D"/>
    <w:rsid w:val="006B1149"/>
    <w:rsid w:val="006B1F4E"/>
    <w:rsid w:val="006B35D8"/>
    <w:rsid w:val="006B5EC7"/>
    <w:rsid w:val="006B6C41"/>
    <w:rsid w:val="006C0F17"/>
    <w:rsid w:val="006C3341"/>
    <w:rsid w:val="006C3359"/>
    <w:rsid w:val="006C4A23"/>
    <w:rsid w:val="006C5697"/>
    <w:rsid w:val="006C6FF2"/>
    <w:rsid w:val="006C79FA"/>
    <w:rsid w:val="006C7ECE"/>
    <w:rsid w:val="006D10E1"/>
    <w:rsid w:val="006D3BB4"/>
    <w:rsid w:val="006D4EAB"/>
    <w:rsid w:val="006F04BC"/>
    <w:rsid w:val="006F520F"/>
    <w:rsid w:val="00700A16"/>
    <w:rsid w:val="00701E0C"/>
    <w:rsid w:val="0070236E"/>
    <w:rsid w:val="00702E1F"/>
    <w:rsid w:val="00705D96"/>
    <w:rsid w:val="00706BD6"/>
    <w:rsid w:val="00710B15"/>
    <w:rsid w:val="00710DBC"/>
    <w:rsid w:val="00710F2F"/>
    <w:rsid w:val="00711981"/>
    <w:rsid w:val="00712513"/>
    <w:rsid w:val="00714FCB"/>
    <w:rsid w:val="00716714"/>
    <w:rsid w:val="00717855"/>
    <w:rsid w:val="007208BC"/>
    <w:rsid w:val="007223AD"/>
    <w:rsid w:val="0072313B"/>
    <w:rsid w:val="0073016A"/>
    <w:rsid w:val="007319CE"/>
    <w:rsid w:val="0073502E"/>
    <w:rsid w:val="00735453"/>
    <w:rsid w:val="0074153A"/>
    <w:rsid w:val="00741A58"/>
    <w:rsid w:val="007438FA"/>
    <w:rsid w:val="007444F9"/>
    <w:rsid w:val="00745662"/>
    <w:rsid w:val="00746BB0"/>
    <w:rsid w:val="007500F5"/>
    <w:rsid w:val="007503B4"/>
    <w:rsid w:val="00751B12"/>
    <w:rsid w:val="007525B4"/>
    <w:rsid w:val="0075361E"/>
    <w:rsid w:val="00755B39"/>
    <w:rsid w:val="00756505"/>
    <w:rsid w:val="007602DD"/>
    <w:rsid w:val="00760CD7"/>
    <w:rsid w:val="0076688E"/>
    <w:rsid w:val="007720CC"/>
    <w:rsid w:val="0077226B"/>
    <w:rsid w:val="00773DB6"/>
    <w:rsid w:val="0077514A"/>
    <w:rsid w:val="00781279"/>
    <w:rsid w:val="007839C1"/>
    <w:rsid w:val="00783AFE"/>
    <w:rsid w:val="007904FF"/>
    <w:rsid w:val="007925EB"/>
    <w:rsid w:val="00796798"/>
    <w:rsid w:val="00797B28"/>
    <w:rsid w:val="007A038A"/>
    <w:rsid w:val="007A1E1B"/>
    <w:rsid w:val="007A23C5"/>
    <w:rsid w:val="007A3D48"/>
    <w:rsid w:val="007A5961"/>
    <w:rsid w:val="007A62AF"/>
    <w:rsid w:val="007A6303"/>
    <w:rsid w:val="007A73B9"/>
    <w:rsid w:val="007B0811"/>
    <w:rsid w:val="007B12CC"/>
    <w:rsid w:val="007B31EB"/>
    <w:rsid w:val="007B425E"/>
    <w:rsid w:val="007C1D53"/>
    <w:rsid w:val="007C22F2"/>
    <w:rsid w:val="007C3D31"/>
    <w:rsid w:val="007C4FA1"/>
    <w:rsid w:val="007D2F2B"/>
    <w:rsid w:val="007D48A4"/>
    <w:rsid w:val="007D719A"/>
    <w:rsid w:val="007E11AF"/>
    <w:rsid w:val="007E1A50"/>
    <w:rsid w:val="007E36AC"/>
    <w:rsid w:val="007E4B97"/>
    <w:rsid w:val="007E5353"/>
    <w:rsid w:val="007E55B7"/>
    <w:rsid w:val="007E6392"/>
    <w:rsid w:val="007F42D9"/>
    <w:rsid w:val="007F5799"/>
    <w:rsid w:val="007F5BF8"/>
    <w:rsid w:val="007F7B66"/>
    <w:rsid w:val="00801DE2"/>
    <w:rsid w:val="00802AAD"/>
    <w:rsid w:val="008038C9"/>
    <w:rsid w:val="0080646E"/>
    <w:rsid w:val="00806C2A"/>
    <w:rsid w:val="008077DA"/>
    <w:rsid w:val="008141B6"/>
    <w:rsid w:val="008153A1"/>
    <w:rsid w:val="00825BFE"/>
    <w:rsid w:val="00825C8F"/>
    <w:rsid w:val="00826B5E"/>
    <w:rsid w:val="00831380"/>
    <w:rsid w:val="00831843"/>
    <w:rsid w:val="00832D6F"/>
    <w:rsid w:val="008330BB"/>
    <w:rsid w:val="00833CAD"/>
    <w:rsid w:val="008406FC"/>
    <w:rsid w:val="00840AA3"/>
    <w:rsid w:val="008410E6"/>
    <w:rsid w:val="00841318"/>
    <w:rsid w:val="00841E77"/>
    <w:rsid w:val="008421E5"/>
    <w:rsid w:val="00845E45"/>
    <w:rsid w:val="008512E3"/>
    <w:rsid w:val="00851C1E"/>
    <w:rsid w:val="00853166"/>
    <w:rsid w:val="008545A3"/>
    <w:rsid w:val="00856CD9"/>
    <w:rsid w:val="00862F0E"/>
    <w:rsid w:val="00863E6B"/>
    <w:rsid w:val="008655F8"/>
    <w:rsid w:val="00867DAD"/>
    <w:rsid w:val="00867EAE"/>
    <w:rsid w:val="00870A99"/>
    <w:rsid w:val="00871458"/>
    <w:rsid w:val="00872CB6"/>
    <w:rsid w:val="00874F21"/>
    <w:rsid w:val="00882D02"/>
    <w:rsid w:val="00883213"/>
    <w:rsid w:val="0088340D"/>
    <w:rsid w:val="00884A1B"/>
    <w:rsid w:val="008923A4"/>
    <w:rsid w:val="008927E0"/>
    <w:rsid w:val="00893556"/>
    <w:rsid w:val="00893B88"/>
    <w:rsid w:val="008953C4"/>
    <w:rsid w:val="008A02F3"/>
    <w:rsid w:val="008A4193"/>
    <w:rsid w:val="008A4440"/>
    <w:rsid w:val="008A58B3"/>
    <w:rsid w:val="008B024E"/>
    <w:rsid w:val="008B14E4"/>
    <w:rsid w:val="008B2C45"/>
    <w:rsid w:val="008B4190"/>
    <w:rsid w:val="008C0361"/>
    <w:rsid w:val="008C2670"/>
    <w:rsid w:val="008C6831"/>
    <w:rsid w:val="008C736D"/>
    <w:rsid w:val="008D30DD"/>
    <w:rsid w:val="008D35B6"/>
    <w:rsid w:val="008D5D5A"/>
    <w:rsid w:val="008D63C9"/>
    <w:rsid w:val="008D77B0"/>
    <w:rsid w:val="008E06A1"/>
    <w:rsid w:val="008E1673"/>
    <w:rsid w:val="008E6D68"/>
    <w:rsid w:val="008F4555"/>
    <w:rsid w:val="00900431"/>
    <w:rsid w:val="00902193"/>
    <w:rsid w:val="0090328C"/>
    <w:rsid w:val="00910123"/>
    <w:rsid w:val="00912961"/>
    <w:rsid w:val="00913386"/>
    <w:rsid w:val="00913F71"/>
    <w:rsid w:val="00914563"/>
    <w:rsid w:val="00916D35"/>
    <w:rsid w:val="00921822"/>
    <w:rsid w:val="00921960"/>
    <w:rsid w:val="0092196F"/>
    <w:rsid w:val="00923F6C"/>
    <w:rsid w:val="00925D28"/>
    <w:rsid w:val="00927B48"/>
    <w:rsid w:val="00931166"/>
    <w:rsid w:val="0093340A"/>
    <w:rsid w:val="00933955"/>
    <w:rsid w:val="00935A11"/>
    <w:rsid w:val="00936518"/>
    <w:rsid w:val="00937032"/>
    <w:rsid w:val="00937C98"/>
    <w:rsid w:val="0094258F"/>
    <w:rsid w:val="0094661D"/>
    <w:rsid w:val="009469B5"/>
    <w:rsid w:val="0095122D"/>
    <w:rsid w:val="00952194"/>
    <w:rsid w:val="00955087"/>
    <w:rsid w:val="0095730F"/>
    <w:rsid w:val="0096060D"/>
    <w:rsid w:val="00961C95"/>
    <w:rsid w:val="00962A5F"/>
    <w:rsid w:val="00963B0B"/>
    <w:rsid w:val="0096467C"/>
    <w:rsid w:val="00965969"/>
    <w:rsid w:val="00965DB7"/>
    <w:rsid w:val="009667C2"/>
    <w:rsid w:val="00967F39"/>
    <w:rsid w:val="00970038"/>
    <w:rsid w:val="00971D84"/>
    <w:rsid w:val="0097237D"/>
    <w:rsid w:val="009740A2"/>
    <w:rsid w:val="00976F17"/>
    <w:rsid w:val="00981972"/>
    <w:rsid w:val="0098245F"/>
    <w:rsid w:val="009855CA"/>
    <w:rsid w:val="00990F07"/>
    <w:rsid w:val="009932D0"/>
    <w:rsid w:val="00996DA3"/>
    <w:rsid w:val="009A5F8F"/>
    <w:rsid w:val="009B0A61"/>
    <w:rsid w:val="009B109A"/>
    <w:rsid w:val="009B4531"/>
    <w:rsid w:val="009B5F75"/>
    <w:rsid w:val="009B6519"/>
    <w:rsid w:val="009B6C65"/>
    <w:rsid w:val="009B7836"/>
    <w:rsid w:val="009C164A"/>
    <w:rsid w:val="009D0A18"/>
    <w:rsid w:val="009D17E4"/>
    <w:rsid w:val="009D5A93"/>
    <w:rsid w:val="009D5BA5"/>
    <w:rsid w:val="009D64E2"/>
    <w:rsid w:val="009D6BF5"/>
    <w:rsid w:val="009E0276"/>
    <w:rsid w:val="009E25B6"/>
    <w:rsid w:val="009E2A29"/>
    <w:rsid w:val="009E5F33"/>
    <w:rsid w:val="009E6791"/>
    <w:rsid w:val="009E7510"/>
    <w:rsid w:val="009F02C1"/>
    <w:rsid w:val="009F0BD2"/>
    <w:rsid w:val="009F1452"/>
    <w:rsid w:val="009F1BF8"/>
    <w:rsid w:val="009F1C9C"/>
    <w:rsid w:val="009F250C"/>
    <w:rsid w:val="009F275E"/>
    <w:rsid w:val="009F434C"/>
    <w:rsid w:val="009F7D34"/>
    <w:rsid w:val="00A00E7B"/>
    <w:rsid w:val="00A02520"/>
    <w:rsid w:val="00A02BAA"/>
    <w:rsid w:val="00A107BD"/>
    <w:rsid w:val="00A10D56"/>
    <w:rsid w:val="00A1218E"/>
    <w:rsid w:val="00A12C39"/>
    <w:rsid w:val="00A13A13"/>
    <w:rsid w:val="00A15326"/>
    <w:rsid w:val="00A16CEC"/>
    <w:rsid w:val="00A26C91"/>
    <w:rsid w:val="00A26E9C"/>
    <w:rsid w:val="00A318E2"/>
    <w:rsid w:val="00A33F58"/>
    <w:rsid w:val="00A36055"/>
    <w:rsid w:val="00A40BC8"/>
    <w:rsid w:val="00A4369D"/>
    <w:rsid w:val="00A43B19"/>
    <w:rsid w:val="00A4472E"/>
    <w:rsid w:val="00A46D31"/>
    <w:rsid w:val="00A47EA4"/>
    <w:rsid w:val="00A5036F"/>
    <w:rsid w:val="00A503E5"/>
    <w:rsid w:val="00A509FD"/>
    <w:rsid w:val="00A53FF0"/>
    <w:rsid w:val="00A54456"/>
    <w:rsid w:val="00A5471E"/>
    <w:rsid w:val="00A551D7"/>
    <w:rsid w:val="00A55B27"/>
    <w:rsid w:val="00A55BDA"/>
    <w:rsid w:val="00A60C43"/>
    <w:rsid w:val="00A64596"/>
    <w:rsid w:val="00A67BE2"/>
    <w:rsid w:val="00A74820"/>
    <w:rsid w:val="00A76E41"/>
    <w:rsid w:val="00A776BC"/>
    <w:rsid w:val="00A8105F"/>
    <w:rsid w:val="00A81465"/>
    <w:rsid w:val="00A833A7"/>
    <w:rsid w:val="00A86AB0"/>
    <w:rsid w:val="00A87262"/>
    <w:rsid w:val="00A90F79"/>
    <w:rsid w:val="00A9323F"/>
    <w:rsid w:val="00A93929"/>
    <w:rsid w:val="00A9509B"/>
    <w:rsid w:val="00A963E4"/>
    <w:rsid w:val="00A97C90"/>
    <w:rsid w:val="00AA15A6"/>
    <w:rsid w:val="00AA182F"/>
    <w:rsid w:val="00AA3F58"/>
    <w:rsid w:val="00AA4870"/>
    <w:rsid w:val="00AA6B5D"/>
    <w:rsid w:val="00AB1D83"/>
    <w:rsid w:val="00AB5668"/>
    <w:rsid w:val="00AB587E"/>
    <w:rsid w:val="00AB6697"/>
    <w:rsid w:val="00AC0CA3"/>
    <w:rsid w:val="00AC24D8"/>
    <w:rsid w:val="00AC2F0E"/>
    <w:rsid w:val="00AC6329"/>
    <w:rsid w:val="00AC6B22"/>
    <w:rsid w:val="00AD13AD"/>
    <w:rsid w:val="00AE08D3"/>
    <w:rsid w:val="00AE225B"/>
    <w:rsid w:val="00AE46A4"/>
    <w:rsid w:val="00AE535D"/>
    <w:rsid w:val="00AE69CE"/>
    <w:rsid w:val="00AF08E9"/>
    <w:rsid w:val="00AF0B26"/>
    <w:rsid w:val="00AF0EBF"/>
    <w:rsid w:val="00AF2165"/>
    <w:rsid w:val="00AF6826"/>
    <w:rsid w:val="00B00877"/>
    <w:rsid w:val="00B02697"/>
    <w:rsid w:val="00B0719C"/>
    <w:rsid w:val="00B14CC8"/>
    <w:rsid w:val="00B17240"/>
    <w:rsid w:val="00B234C1"/>
    <w:rsid w:val="00B248CE"/>
    <w:rsid w:val="00B24E37"/>
    <w:rsid w:val="00B25020"/>
    <w:rsid w:val="00B256C8"/>
    <w:rsid w:val="00B256F6"/>
    <w:rsid w:val="00B272EE"/>
    <w:rsid w:val="00B302A1"/>
    <w:rsid w:val="00B31FCC"/>
    <w:rsid w:val="00B3557A"/>
    <w:rsid w:val="00B3740D"/>
    <w:rsid w:val="00B3776F"/>
    <w:rsid w:val="00B418AB"/>
    <w:rsid w:val="00B41ACE"/>
    <w:rsid w:val="00B4291F"/>
    <w:rsid w:val="00B42B7C"/>
    <w:rsid w:val="00B42F55"/>
    <w:rsid w:val="00B46CA3"/>
    <w:rsid w:val="00B5591E"/>
    <w:rsid w:val="00B565C7"/>
    <w:rsid w:val="00B56F47"/>
    <w:rsid w:val="00B608C5"/>
    <w:rsid w:val="00B61CEF"/>
    <w:rsid w:val="00B657D7"/>
    <w:rsid w:val="00B659E9"/>
    <w:rsid w:val="00B677D1"/>
    <w:rsid w:val="00B7130A"/>
    <w:rsid w:val="00B71CA8"/>
    <w:rsid w:val="00B753C1"/>
    <w:rsid w:val="00B82CCF"/>
    <w:rsid w:val="00B83052"/>
    <w:rsid w:val="00B8677C"/>
    <w:rsid w:val="00B90FC3"/>
    <w:rsid w:val="00B92387"/>
    <w:rsid w:val="00B9395A"/>
    <w:rsid w:val="00B93A38"/>
    <w:rsid w:val="00B95280"/>
    <w:rsid w:val="00B9638C"/>
    <w:rsid w:val="00BA5133"/>
    <w:rsid w:val="00BA5885"/>
    <w:rsid w:val="00BA59F6"/>
    <w:rsid w:val="00BA6774"/>
    <w:rsid w:val="00BB0763"/>
    <w:rsid w:val="00BB0E01"/>
    <w:rsid w:val="00BB1CB2"/>
    <w:rsid w:val="00BB21F1"/>
    <w:rsid w:val="00BB4264"/>
    <w:rsid w:val="00BB4B2D"/>
    <w:rsid w:val="00BB6099"/>
    <w:rsid w:val="00BB6BDE"/>
    <w:rsid w:val="00BB702A"/>
    <w:rsid w:val="00BC0FBE"/>
    <w:rsid w:val="00BC1D98"/>
    <w:rsid w:val="00BC3F50"/>
    <w:rsid w:val="00BD324F"/>
    <w:rsid w:val="00BD3603"/>
    <w:rsid w:val="00BD702A"/>
    <w:rsid w:val="00BE0161"/>
    <w:rsid w:val="00BE1766"/>
    <w:rsid w:val="00BE3275"/>
    <w:rsid w:val="00BE36C6"/>
    <w:rsid w:val="00BE5F84"/>
    <w:rsid w:val="00BF0DFB"/>
    <w:rsid w:val="00BF14CF"/>
    <w:rsid w:val="00BF48F2"/>
    <w:rsid w:val="00BF648F"/>
    <w:rsid w:val="00C00A12"/>
    <w:rsid w:val="00C01354"/>
    <w:rsid w:val="00C02E08"/>
    <w:rsid w:val="00C04FEC"/>
    <w:rsid w:val="00C05052"/>
    <w:rsid w:val="00C0544C"/>
    <w:rsid w:val="00C064AA"/>
    <w:rsid w:val="00C10643"/>
    <w:rsid w:val="00C15609"/>
    <w:rsid w:val="00C16EAB"/>
    <w:rsid w:val="00C23757"/>
    <w:rsid w:val="00C2432E"/>
    <w:rsid w:val="00C25332"/>
    <w:rsid w:val="00C25933"/>
    <w:rsid w:val="00C27C2B"/>
    <w:rsid w:val="00C3318C"/>
    <w:rsid w:val="00C34F6D"/>
    <w:rsid w:val="00C3720A"/>
    <w:rsid w:val="00C41DCA"/>
    <w:rsid w:val="00C45720"/>
    <w:rsid w:val="00C51934"/>
    <w:rsid w:val="00C549B2"/>
    <w:rsid w:val="00C55715"/>
    <w:rsid w:val="00C56FA8"/>
    <w:rsid w:val="00C61C00"/>
    <w:rsid w:val="00C62802"/>
    <w:rsid w:val="00C6346F"/>
    <w:rsid w:val="00C679E4"/>
    <w:rsid w:val="00C73DB2"/>
    <w:rsid w:val="00C75067"/>
    <w:rsid w:val="00C802CF"/>
    <w:rsid w:val="00C830BD"/>
    <w:rsid w:val="00C84E19"/>
    <w:rsid w:val="00C85194"/>
    <w:rsid w:val="00C95F53"/>
    <w:rsid w:val="00C97F3E"/>
    <w:rsid w:val="00CA00FB"/>
    <w:rsid w:val="00CA0715"/>
    <w:rsid w:val="00CA11BC"/>
    <w:rsid w:val="00CA1CD2"/>
    <w:rsid w:val="00CA39D0"/>
    <w:rsid w:val="00CA48E6"/>
    <w:rsid w:val="00CA4E7E"/>
    <w:rsid w:val="00CA67C6"/>
    <w:rsid w:val="00CB14B8"/>
    <w:rsid w:val="00CB262F"/>
    <w:rsid w:val="00CB39DC"/>
    <w:rsid w:val="00CB4939"/>
    <w:rsid w:val="00CB5977"/>
    <w:rsid w:val="00CB5E07"/>
    <w:rsid w:val="00CB5FDB"/>
    <w:rsid w:val="00CC1786"/>
    <w:rsid w:val="00CC36CA"/>
    <w:rsid w:val="00CC6EF3"/>
    <w:rsid w:val="00CC7A2E"/>
    <w:rsid w:val="00CC7AEB"/>
    <w:rsid w:val="00CD27CB"/>
    <w:rsid w:val="00CD478B"/>
    <w:rsid w:val="00CD6BE5"/>
    <w:rsid w:val="00CD77F5"/>
    <w:rsid w:val="00CD7CD7"/>
    <w:rsid w:val="00CD7DD7"/>
    <w:rsid w:val="00CE0245"/>
    <w:rsid w:val="00CE47BF"/>
    <w:rsid w:val="00CE76D0"/>
    <w:rsid w:val="00CF43D3"/>
    <w:rsid w:val="00CF4997"/>
    <w:rsid w:val="00CF7256"/>
    <w:rsid w:val="00CF75BB"/>
    <w:rsid w:val="00D03579"/>
    <w:rsid w:val="00D04FCE"/>
    <w:rsid w:val="00D11D9E"/>
    <w:rsid w:val="00D13247"/>
    <w:rsid w:val="00D1341B"/>
    <w:rsid w:val="00D13E31"/>
    <w:rsid w:val="00D16614"/>
    <w:rsid w:val="00D2127E"/>
    <w:rsid w:val="00D228D1"/>
    <w:rsid w:val="00D22DFA"/>
    <w:rsid w:val="00D24B8C"/>
    <w:rsid w:val="00D26AA8"/>
    <w:rsid w:val="00D27019"/>
    <w:rsid w:val="00D315DA"/>
    <w:rsid w:val="00D3317F"/>
    <w:rsid w:val="00D360BE"/>
    <w:rsid w:val="00D40BC5"/>
    <w:rsid w:val="00D40F06"/>
    <w:rsid w:val="00D44057"/>
    <w:rsid w:val="00D44B67"/>
    <w:rsid w:val="00D44E81"/>
    <w:rsid w:val="00D4599E"/>
    <w:rsid w:val="00D47576"/>
    <w:rsid w:val="00D479E8"/>
    <w:rsid w:val="00D542F2"/>
    <w:rsid w:val="00D5493C"/>
    <w:rsid w:val="00D56F9B"/>
    <w:rsid w:val="00D61162"/>
    <w:rsid w:val="00D61BD1"/>
    <w:rsid w:val="00D631BE"/>
    <w:rsid w:val="00D635C4"/>
    <w:rsid w:val="00D65D0C"/>
    <w:rsid w:val="00D66AE2"/>
    <w:rsid w:val="00D66B0F"/>
    <w:rsid w:val="00D671EA"/>
    <w:rsid w:val="00D72C3B"/>
    <w:rsid w:val="00D74180"/>
    <w:rsid w:val="00D744B4"/>
    <w:rsid w:val="00D7549F"/>
    <w:rsid w:val="00D77416"/>
    <w:rsid w:val="00D774D4"/>
    <w:rsid w:val="00D7757D"/>
    <w:rsid w:val="00D8023F"/>
    <w:rsid w:val="00D80950"/>
    <w:rsid w:val="00D8348B"/>
    <w:rsid w:val="00D868F2"/>
    <w:rsid w:val="00D86FDE"/>
    <w:rsid w:val="00D8757C"/>
    <w:rsid w:val="00D908D3"/>
    <w:rsid w:val="00D90C19"/>
    <w:rsid w:val="00D91C36"/>
    <w:rsid w:val="00D94AE6"/>
    <w:rsid w:val="00D94BB9"/>
    <w:rsid w:val="00D95048"/>
    <w:rsid w:val="00DA1AE4"/>
    <w:rsid w:val="00DA283C"/>
    <w:rsid w:val="00DA437B"/>
    <w:rsid w:val="00DA78D7"/>
    <w:rsid w:val="00DB0831"/>
    <w:rsid w:val="00DB1859"/>
    <w:rsid w:val="00DB1D37"/>
    <w:rsid w:val="00DB3A56"/>
    <w:rsid w:val="00DB6FE7"/>
    <w:rsid w:val="00DC1D00"/>
    <w:rsid w:val="00DC2A9F"/>
    <w:rsid w:val="00DC552D"/>
    <w:rsid w:val="00DC7B47"/>
    <w:rsid w:val="00DD1A5C"/>
    <w:rsid w:val="00DD1F41"/>
    <w:rsid w:val="00DD34E5"/>
    <w:rsid w:val="00DD3639"/>
    <w:rsid w:val="00DD4360"/>
    <w:rsid w:val="00DD6DD7"/>
    <w:rsid w:val="00DD6FD2"/>
    <w:rsid w:val="00DE1373"/>
    <w:rsid w:val="00DE21B5"/>
    <w:rsid w:val="00DE2EF0"/>
    <w:rsid w:val="00DE5A74"/>
    <w:rsid w:val="00DF0EBB"/>
    <w:rsid w:val="00DF22C3"/>
    <w:rsid w:val="00DF298C"/>
    <w:rsid w:val="00DF40A0"/>
    <w:rsid w:val="00DF4135"/>
    <w:rsid w:val="00DF5A45"/>
    <w:rsid w:val="00DF6369"/>
    <w:rsid w:val="00DF693A"/>
    <w:rsid w:val="00E0259E"/>
    <w:rsid w:val="00E0287C"/>
    <w:rsid w:val="00E0318A"/>
    <w:rsid w:val="00E04CC3"/>
    <w:rsid w:val="00E1000C"/>
    <w:rsid w:val="00E10BFF"/>
    <w:rsid w:val="00E1186D"/>
    <w:rsid w:val="00E1484A"/>
    <w:rsid w:val="00E152C9"/>
    <w:rsid w:val="00E2020D"/>
    <w:rsid w:val="00E21A06"/>
    <w:rsid w:val="00E2576F"/>
    <w:rsid w:val="00E30197"/>
    <w:rsid w:val="00E30704"/>
    <w:rsid w:val="00E30B21"/>
    <w:rsid w:val="00E344E1"/>
    <w:rsid w:val="00E34784"/>
    <w:rsid w:val="00E42B97"/>
    <w:rsid w:val="00E46AF8"/>
    <w:rsid w:val="00E47761"/>
    <w:rsid w:val="00E5409A"/>
    <w:rsid w:val="00E5458F"/>
    <w:rsid w:val="00E61333"/>
    <w:rsid w:val="00E6159D"/>
    <w:rsid w:val="00E62805"/>
    <w:rsid w:val="00E67AB7"/>
    <w:rsid w:val="00E743FC"/>
    <w:rsid w:val="00E760DC"/>
    <w:rsid w:val="00E772BA"/>
    <w:rsid w:val="00E80BCE"/>
    <w:rsid w:val="00E80EFF"/>
    <w:rsid w:val="00E81CF1"/>
    <w:rsid w:val="00E82532"/>
    <w:rsid w:val="00E855FA"/>
    <w:rsid w:val="00E85BD7"/>
    <w:rsid w:val="00E85F4F"/>
    <w:rsid w:val="00E87612"/>
    <w:rsid w:val="00E905AE"/>
    <w:rsid w:val="00E92ACD"/>
    <w:rsid w:val="00E974A2"/>
    <w:rsid w:val="00EA0415"/>
    <w:rsid w:val="00EA5AB5"/>
    <w:rsid w:val="00EA5D6A"/>
    <w:rsid w:val="00EA6950"/>
    <w:rsid w:val="00EB57E9"/>
    <w:rsid w:val="00EC05E9"/>
    <w:rsid w:val="00EC2A61"/>
    <w:rsid w:val="00EC2D7F"/>
    <w:rsid w:val="00EC614F"/>
    <w:rsid w:val="00EC6556"/>
    <w:rsid w:val="00ED1FD7"/>
    <w:rsid w:val="00ED3275"/>
    <w:rsid w:val="00ED3A25"/>
    <w:rsid w:val="00ED5234"/>
    <w:rsid w:val="00ED5C41"/>
    <w:rsid w:val="00EE1152"/>
    <w:rsid w:val="00EE2474"/>
    <w:rsid w:val="00EF28C5"/>
    <w:rsid w:val="00EF324E"/>
    <w:rsid w:val="00EF349C"/>
    <w:rsid w:val="00EF39B2"/>
    <w:rsid w:val="00EF39ED"/>
    <w:rsid w:val="00EF7E81"/>
    <w:rsid w:val="00F021CF"/>
    <w:rsid w:val="00F05B0F"/>
    <w:rsid w:val="00F1047D"/>
    <w:rsid w:val="00F12BB0"/>
    <w:rsid w:val="00F13DE3"/>
    <w:rsid w:val="00F13E79"/>
    <w:rsid w:val="00F16AF2"/>
    <w:rsid w:val="00F17BAE"/>
    <w:rsid w:val="00F2001D"/>
    <w:rsid w:val="00F20029"/>
    <w:rsid w:val="00F2201F"/>
    <w:rsid w:val="00F23852"/>
    <w:rsid w:val="00F24D86"/>
    <w:rsid w:val="00F318B8"/>
    <w:rsid w:val="00F323B7"/>
    <w:rsid w:val="00F33B15"/>
    <w:rsid w:val="00F341B8"/>
    <w:rsid w:val="00F417A3"/>
    <w:rsid w:val="00F42B7E"/>
    <w:rsid w:val="00F42EDB"/>
    <w:rsid w:val="00F44275"/>
    <w:rsid w:val="00F46C0C"/>
    <w:rsid w:val="00F5064E"/>
    <w:rsid w:val="00F55B72"/>
    <w:rsid w:val="00F6056C"/>
    <w:rsid w:val="00F60CB5"/>
    <w:rsid w:val="00F61581"/>
    <w:rsid w:val="00F62E7F"/>
    <w:rsid w:val="00F63BB9"/>
    <w:rsid w:val="00F658B9"/>
    <w:rsid w:val="00F67DBB"/>
    <w:rsid w:val="00F700AA"/>
    <w:rsid w:val="00F718B0"/>
    <w:rsid w:val="00F73A71"/>
    <w:rsid w:val="00F77D48"/>
    <w:rsid w:val="00F8293E"/>
    <w:rsid w:val="00F82BD4"/>
    <w:rsid w:val="00F84C94"/>
    <w:rsid w:val="00F90BB6"/>
    <w:rsid w:val="00F915D1"/>
    <w:rsid w:val="00F91939"/>
    <w:rsid w:val="00F93E86"/>
    <w:rsid w:val="00F9576D"/>
    <w:rsid w:val="00F95F0C"/>
    <w:rsid w:val="00F9732F"/>
    <w:rsid w:val="00FA0E7F"/>
    <w:rsid w:val="00FA3548"/>
    <w:rsid w:val="00FA4B38"/>
    <w:rsid w:val="00FA50EB"/>
    <w:rsid w:val="00FA6DC0"/>
    <w:rsid w:val="00FA7EB1"/>
    <w:rsid w:val="00FB1CEC"/>
    <w:rsid w:val="00FB419B"/>
    <w:rsid w:val="00FB46DC"/>
    <w:rsid w:val="00FB6F9F"/>
    <w:rsid w:val="00FB7A48"/>
    <w:rsid w:val="00FC12FE"/>
    <w:rsid w:val="00FC1489"/>
    <w:rsid w:val="00FC3441"/>
    <w:rsid w:val="00FD1ED3"/>
    <w:rsid w:val="00FD6C28"/>
    <w:rsid w:val="00FE1287"/>
    <w:rsid w:val="00FE310B"/>
    <w:rsid w:val="00FE39B9"/>
    <w:rsid w:val="00FE6AD7"/>
    <w:rsid w:val="00FF1BA9"/>
    <w:rsid w:val="00FF5290"/>
    <w:rsid w:val="00FF60DC"/>
    <w:rsid w:val="011805D3"/>
    <w:rsid w:val="0119135C"/>
    <w:rsid w:val="014031AC"/>
    <w:rsid w:val="018A08AD"/>
    <w:rsid w:val="01F56BF3"/>
    <w:rsid w:val="02F01A5E"/>
    <w:rsid w:val="037D3782"/>
    <w:rsid w:val="0381186C"/>
    <w:rsid w:val="03C84930"/>
    <w:rsid w:val="03D231E7"/>
    <w:rsid w:val="03D249FB"/>
    <w:rsid w:val="03DF7E09"/>
    <w:rsid w:val="048320BB"/>
    <w:rsid w:val="04B563C2"/>
    <w:rsid w:val="05531A54"/>
    <w:rsid w:val="058E2DA5"/>
    <w:rsid w:val="05C75FDC"/>
    <w:rsid w:val="05F92C68"/>
    <w:rsid w:val="06140DAE"/>
    <w:rsid w:val="06471201"/>
    <w:rsid w:val="06571B7A"/>
    <w:rsid w:val="066732A5"/>
    <w:rsid w:val="07150C3A"/>
    <w:rsid w:val="07194B80"/>
    <w:rsid w:val="077111CE"/>
    <w:rsid w:val="0772575A"/>
    <w:rsid w:val="07CE6135"/>
    <w:rsid w:val="07DA3A8F"/>
    <w:rsid w:val="07F04FC8"/>
    <w:rsid w:val="08221691"/>
    <w:rsid w:val="083A7122"/>
    <w:rsid w:val="086C052D"/>
    <w:rsid w:val="087F0779"/>
    <w:rsid w:val="089D7C92"/>
    <w:rsid w:val="08C32181"/>
    <w:rsid w:val="0986528B"/>
    <w:rsid w:val="09C92DD3"/>
    <w:rsid w:val="09CF6E4B"/>
    <w:rsid w:val="09E37C5E"/>
    <w:rsid w:val="0B002F3E"/>
    <w:rsid w:val="0B435F27"/>
    <w:rsid w:val="0B6B045B"/>
    <w:rsid w:val="0B8F5D56"/>
    <w:rsid w:val="0BD0138A"/>
    <w:rsid w:val="0BD554C2"/>
    <w:rsid w:val="0C703B2C"/>
    <w:rsid w:val="0CC82FE5"/>
    <w:rsid w:val="0CE85619"/>
    <w:rsid w:val="0CF93BA8"/>
    <w:rsid w:val="0D076825"/>
    <w:rsid w:val="0D2C613C"/>
    <w:rsid w:val="0D531877"/>
    <w:rsid w:val="0D6E2A3F"/>
    <w:rsid w:val="0DA42DA9"/>
    <w:rsid w:val="0E0D4E0D"/>
    <w:rsid w:val="0E7B4525"/>
    <w:rsid w:val="0EAD15B6"/>
    <w:rsid w:val="0F000F84"/>
    <w:rsid w:val="0FF869FF"/>
    <w:rsid w:val="0FFD73C1"/>
    <w:rsid w:val="10767327"/>
    <w:rsid w:val="109A0C02"/>
    <w:rsid w:val="10F42A1A"/>
    <w:rsid w:val="11304CEB"/>
    <w:rsid w:val="11473CCF"/>
    <w:rsid w:val="1161099C"/>
    <w:rsid w:val="118B099E"/>
    <w:rsid w:val="11AF4DCB"/>
    <w:rsid w:val="12955111"/>
    <w:rsid w:val="12CC6E6D"/>
    <w:rsid w:val="130B3AEC"/>
    <w:rsid w:val="13613454"/>
    <w:rsid w:val="13806E42"/>
    <w:rsid w:val="139F353F"/>
    <w:rsid w:val="13A607E7"/>
    <w:rsid w:val="13D4516A"/>
    <w:rsid w:val="13D674AF"/>
    <w:rsid w:val="140E7482"/>
    <w:rsid w:val="1440520B"/>
    <w:rsid w:val="14737EE6"/>
    <w:rsid w:val="15284052"/>
    <w:rsid w:val="15482F90"/>
    <w:rsid w:val="154A2E74"/>
    <w:rsid w:val="15C00329"/>
    <w:rsid w:val="16CC3859"/>
    <w:rsid w:val="17170ED4"/>
    <w:rsid w:val="17205A9E"/>
    <w:rsid w:val="174178C4"/>
    <w:rsid w:val="178A6E9E"/>
    <w:rsid w:val="178F6B82"/>
    <w:rsid w:val="17B53B60"/>
    <w:rsid w:val="17BC5001"/>
    <w:rsid w:val="18071CBB"/>
    <w:rsid w:val="181B43CE"/>
    <w:rsid w:val="183A0A1F"/>
    <w:rsid w:val="183B20F2"/>
    <w:rsid w:val="19471C1E"/>
    <w:rsid w:val="19501728"/>
    <w:rsid w:val="198C1D89"/>
    <w:rsid w:val="1A2E45B6"/>
    <w:rsid w:val="1B74013C"/>
    <w:rsid w:val="1BBB281E"/>
    <w:rsid w:val="1CA32E11"/>
    <w:rsid w:val="1CB26DA2"/>
    <w:rsid w:val="1CEC7657"/>
    <w:rsid w:val="1CFA34AD"/>
    <w:rsid w:val="1D9A0416"/>
    <w:rsid w:val="1E0C2C72"/>
    <w:rsid w:val="1E0D2BED"/>
    <w:rsid w:val="1E1B4C4F"/>
    <w:rsid w:val="1E591AD6"/>
    <w:rsid w:val="1E96115A"/>
    <w:rsid w:val="1F14499E"/>
    <w:rsid w:val="1F5B26C7"/>
    <w:rsid w:val="1F636CCD"/>
    <w:rsid w:val="1FA96E76"/>
    <w:rsid w:val="1FC84813"/>
    <w:rsid w:val="203A4DF7"/>
    <w:rsid w:val="2085503C"/>
    <w:rsid w:val="20D436FE"/>
    <w:rsid w:val="21617FA0"/>
    <w:rsid w:val="216D2953"/>
    <w:rsid w:val="224109E7"/>
    <w:rsid w:val="224752BD"/>
    <w:rsid w:val="22913831"/>
    <w:rsid w:val="22A144DF"/>
    <w:rsid w:val="22EB689E"/>
    <w:rsid w:val="23801831"/>
    <w:rsid w:val="239C42AC"/>
    <w:rsid w:val="23FD3ABB"/>
    <w:rsid w:val="24116546"/>
    <w:rsid w:val="246A4980"/>
    <w:rsid w:val="2472310C"/>
    <w:rsid w:val="2498616E"/>
    <w:rsid w:val="249C2E00"/>
    <w:rsid w:val="24EE5989"/>
    <w:rsid w:val="25620DF9"/>
    <w:rsid w:val="25BF1626"/>
    <w:rsid w:val="25D2191A"/>
    <w:rsid w:val="26C465F7"/>
    <w:rsid w:val="26CE5027"/>
    <w:rsid w:val="27F62AEE"/>
    <w:rsid w:val="2866365B"/>
    <w:rsid w:val="286A161C"/>
    <w:rsid w:val="289E5A00"/>
    <w:rsid w:val="28FA54FA"/>
    <w:rsid w:val="29335C73"/>
    <w:rsid w:val="294F04B9"/>
    <w:rsid w:val="29787F9A"/>
    <w:rsid w:val="2A2107B7"/>
    <w:rsid w:val="2A342CB9"/>
    <w:rsid w:val="2A4E320E"/>
    <w:rsid w:val="2AD90263"/>
    <w:rsid w:val="2AE443B6"/>
    <w:rsid w:val="2B711410"/>
    <w:rsid w:val="2B7218A1"/>
    <w:rsid w:val="2B9D683D"/>
    <w:rsid w:val="2BDD6474"/>
    <w:rsid w:val="2C6344C6"/>
    <w:rsid w:val="2C79710E"/>
    <w:rsid w:val="2CF23FA9"/>
    <w:rsid w:val="2CFA2568"/>
    <w:rsid w:val="2D422DEA"/>
    <w:rsid w:val="2D712D04"/>
    <w:rsid w:val="2DCF3D9C"/>
    <w:rsid w:val="2DDE2C59"/>
    <w:rsid w:val="2E0612EB"/>
    <w:rsid w:val="2E37449A"/>
    <w:rsid w:val="2E50057C"/>
    <w:rsid w:val="2F204A26"/>
    <w:rsid w:val="2F2A03DD"/>
    <w:rsid w:val="2F3045A4"/>
    <w:rsid w:val="2F567AA0"/>
    <w:rsid w:val="30043F67"/>
    <w:rsid w:val="303F5410"/>
    <w:rsid w:val="309F5392"/>
    <w:rsid w:val="30ED05CE"/>
    <w:rsid w:val="3161171F"/>
    <w:rsid w:val="316403CA"/>
    <w:rsid w:val="319A28B2"/>
    <w:rsid w:val="31F12FFC"/>
    <w:rsid w:val="32055304"/>
    <w:rsid w:val="320A4747"/>
    <w:rsid w:val="32385BD7"/>
    <w:rsid w:val="3276083D"/>
    <w:rsid w:val="3278546D"/>
    <w:rsid w:val="32D60470"/>
    <w:rsid w:val="32E14489"/>
    <w:rsid w:val="32F3575B"/>
    <w:rsid w:val="330D78E3"/>
    <w:rsid w:val="33905BDA"/>
    <w:rsid w:val="339B19D0"/>
    <w:rsid w:val="33E41422"/>
    <w:rsid w:val="345A6BDD"/>
    <w:rsid w:val="34804CA3"/>
    <w:rsid w:val="34AE2AD3"/>
    <w:rsid w:val="34D56721"/>
    <w:rsid w:val="34D96BF1"/>
    <w:rsid w:val="3508551A"/>
    <w:rsid w:val="35513C6A"/>
    <w:rsid w:val="35572617"/>
    <w:rsid w:val="359C0F7A"/>
    <w:rsid w:val="35BB6B19"/>
    <w:rsid w:val="35D06396"/>
    <w:rsid w:val="36F61E40"/>
    <w:rsid w:val="37626ECC"/>
    <w:rsid w:val="37776170"/>
    <w:rsid w:val="378B37C3"/>
    <w:rsid w:val="37AC1D1F"/>
    <w:rsid w:val="37BE57F0"/>
    <w:rsid w:val="37EF50E8"/>
    <w:rsid w:val="37F767B2"/>
    <w:rsid w:val="38081690"/>
    <w:rsid w:val="380842A7"/>
    <w:rsid w:val="383B0BDA"/>
    <w:rsid w:val="38725CDE"/>
    <w:rsid w:val="389770F2"/>
    <w:rsid w:val="38F2725A"/>
    <w:rsid w:val="3941563D"/>
    <w:rsid w:val="39C037CE"/>
    <w:rsid w:val="39C34BE0"/>
    <w:rsid w:val="39FC5493"/>
    <w:rsid w:val="3A386299"/>
    <w:rsid w:val="3A652EE9"/>
    <w:rsid w:val="3A86167D"/>
    <w:rsid w:val="3ACA5D26"/>
    <w:rsid w:val="3AE332B3"/>
    <w:rsid w:val="3B562AEE"/>
    <w:rsid w:val="3C192BB1"/>
    <w:rsid w:val="3C203CFE"/>
    <w:rsid w:val="3C8C247C"/>
    <w:rsid w:val="3CE47FCE"/>
    <w:rsid w:val="3D240DBB"/>
    <w:rsid w:val="3D65545B"/>
    <w:rsid w:val="3DD720A7"/>
    <w:rsid w:val="3E7C6D69"/>
    <w:rsid w:val="3EB00F5A"/>
    <w:rsid w:val="3F1122F5"/>
    <w:rsid w:val="3F1E263F"/>
    <w:rsid w:val="3F8947B4"/>
    <w:rsid w:val="3FA119B7"/>
    <w:rsid w:val="3FFE6721"/>
    <w:rsid w:val="40177DE3"/>
    <w:rsid w:val="40321AB1"/>
    <w:rsid w:val="40976810"/>
    <w:rsid w:val="40BB48FC"/>
    <w:rsid w:val="417A1877"/>
    <w:rsid w:val="41CC7F2F"/>
    <w:rsid w:val="41CD4807"/>
    <w:rsid w:val="42060CCF"/>
    <w:rsid w:val="422711D3"/>
    <w:rsid w:val="42352902"/>
    <w:rsid w:val="42600428"/>
    <w:rsid w:val="42794DAD"/>
    <w:rsid w:val="42E0276D"/>
    <w:rsid w:val="42EB7C5A"/>
    <w:rsid w:val="431F2E9E"/>
    <w:rsid w:val="432253DD"/>
    <w:rsid w:val="43294A30"/>
    <w:rsid w:val="43501007"/>
    <w:rsid w:val="43863DDA"/>
    <w:rsid w:val="442B4FA6"/>
    <w:rsid w:val="444939F2"/>
    <w:rsid w:val="44562545"/>
    <w:rsid w:val="45551365"/>
    <w:rsid w:val="45675887"/>
    <w:rsid w:val="45713D3C"/>
    <w:rsid w:val="45825C08"/>
    <w:rsid w:val="45C51DA9"/>
    <w:rsid w:val="462365AE"/>
    <w:rsid w:val="476F66C2"/>
    <w:rsid w:val="47811FE8"/>
    <w:rsid w:val="478657C2"/>
    <w:rsid w:val="47C622AA"/>
    <w:rsid w:val="47EC6B26"/>
    <w:rsid w:val="481A04FC"/>
    <w:rsid w:val="481C5FCC"/>
    <w:rsid w:val="482112D6"/>
    <w:rsid w:val="482809DA"/>
    <w:rsid w:val="48662E78"/>
    <w:rsid w:val="496740F7"/>
    <w:rsid w:val="4A0B7731"/>
    <w:rsid w:val="4A3A7537"/>
    <w:rsid w:val="4A9A751F"/>
    <w:rsid w:val="4AB8212E"/>
    <w:rsid w:val="4AE10089"/>
    <w:rsid w:val="4B177614"/>
    <w:rsid w:val="4B383AFC"/>
    <w:rsid w:val="4B3A3DE4"/>
    <w:rsid w:val="4B77032C"/>
    <w:rsid w:val="4B852596"/>
    <w:rsid w:val="4BB3132A"/>
    <w:rsid w:val="4BBB3B70"/>
    <w:rsid w:val="4BCA4DC2"/>
    <w:rsid w:val="4C062B1F"/>
    <w:rsid w:val="4C0D3BA1"/>
    <w:rsid w:val="4C35320B"/>
    <w:rsid w:val="4C36775C"/>
    <w:rsid w:val="4CB043CE"/>
    <w:rsid w:val="4CC43F74"/>
    <w:rsid w:val="4CE66DCF"/>
    <w:rsid w:val="4D3806BD"/>
    <w:rsid w:val="4D8E5F95"/>
    <w:rsid w:val="4DC923B1"/>
    <w:rsid w:val="4DDD17C4"/>
    <w:rsid w:val="4E781427"/>
    <w:rsid w:val="4E7B3599"/>
    <w:rsid w:val="4ECD2D47"/>
    <w:rsid w:val="4F263062"/>
    <w:rsid w:val="4F4C3725"/>
    <w:rsid w:val="4FA56487"/>
    <w:rsid w:val="4FB30967"/>
    <w:rsid w:val="4FC44EDC"/>
    <w:rsid w:val="4FD83767"/>
    <w:rsid w:val="4FE37498"/>
    <w:rsid w:val="502A6A87"/>
    <w:rsid w:val="50590DC7"/>
    <w:rsid w:val="50997532"/>
    <w:rsid w:val="50E5774D"/>
    <w:rsid w:val="510D1ACB"/>
    <w:rsid w:val="51296E07"/>
    <w:rsid w:val="51611FEB"/>
    <w:rsid w:val="51A16EA1"/>
    <w:rsid w:val="51BA7448"/>
    <w:rsid w:val="52814BBC"/>
    <w:rsid w:val="52BC2D75"/>
    <w:rsid w:val="52C12FB4"/>
    <w:rsid w:val="53097B05"/>
    <w:rsid w:val="53447D13"/>
    <w:rsid w:val="534677EF"/>
    <w:rsid w:val="535B5D4C"/>
    <w:rsid w:val="53866EE0"/>
    <w:rsid w:val="53891B30"/>
    <w:rsid w:val="538D1685"/>
    <w:rsid w:val="538F587F"/>
    <w:rsid w:val="53B4447F"/>
    <w:rsid w:val="544E2FF3"/>
    <w:rsid w:val="54AA2015"/>
    <w:rsid w:val="551E7F0E"/>
    <w:rsid w:val="55B95F2B"/>
    <w:rsid w:val="55BD2089"/>
    <w:rsid w:val="55D63612"/>
    <w:rsid w:val="55D9538F"/>
    <w:rsid w:val="56B137E7"/>
    <w:rsid w:val="56EB54E8"/>
    <w:rsid w:val="57B7676A"/>
    <w:rsid w:val="57BB33B5"/>
    <w:rsid w:val="57CA68AA"/>
    <w:rsid w:val="58F334FC"/>
    <w:rsid w:val="59062315"/>
    <w:rsid w:val="59654F1B"/>
    <w:rsid w:val="597B4313"/>
    <w:rsid w:val="59F62B79"/>
    <w:rsid w:val="5A490260"/>
    <w:rsid w:val="5A650D5A"/>
    <w:rsid w:val="5A8E6B50"/>
    <w:rsid w:val="5AA32532"/>
    <w:rsid w:val="5AED15FD"/>
    <w:rsid w:val="5B526E3B"/>
    <w:rsid w:val="5B8251B7"/>
    <w:rsid w:val="5BB903DA"/>
    <w:rsid w:val="5BF16E90"/>
    <w:rsid w:val="5C771EF3"/>
    <w:rsid w:val="5C79576F"/>
    <w:rsid w:val="5CA3501F"/>
    <w:rsid w:val="5CD6784A"/>
    <w:rsid w:val="5D176670"/>
    <w:rsid w:val="5DA157F0"/>
    <w:rsid w:val="5E18157E"/>
    <w:rsid w:val="5E597700"/>
    <w:rsid w:val="5E683C42"/>
    <w:rsid w:val="5E9A52B6"/>
    <w:rsid w:val="5E9E1FF6"/>
    <w:rsid w:val="5EFB5FCF"/>
    <w:rsid w:val="5FFC77DB"/>
    <w:rsid w:val="6073531B"/>
    <w:rsid w:val="607A3FC5"/>
    <w:rsid w:val="60976762"/>
    <w:rsid w:val="60B3504F"/>
    <w:rsid w:val="615674ED"/>
    <w:rsid w:val="61744EA1"/>
    <w:rsid w:val="617743B0"/>
    <w:rsid w:val="61A20840"/>
    <w:rsid w:val="6278273D"/>
    <w:rsid w:val="62AB7CB6"/>
    <w:rsid w:val="631749A3"/>
    <w:rsid w:val="637048DB"/>
    <w:rsid w:val="63B91C1E"/>
    <w:rsid w:val="64674915"/>
    <w:rsid w:val="649F6C1F"/>
    <w:rsid w:val="64AA146F"/>
    <w:rsid w:val="64B948A6"/>
    <w:rsid w:val="64D97D4C"/>
    <w:rsid w:val="64FD7127"/>
    <w:rsid w:val="65335497"/>
    <w:rsid w:val="654F59DD"/>
    <w:rsid w:val="655C09F4"/>
    <w:rsid w:val="65991E4A"/>
    <w:rsid w:val="65A65FD5"/>
    <w:rsid w:val="65D76172"/>
    <w:rsid w:val="66705E63"/>
    <w:rsid w:val="66C77325"/>
    <w:rsid w:val="66DD2F0E"/>
    <w:rsid w:val="674E78B9"/>
    <w:rsid w:val="67793F46"/>
    <w:rsid w:val="684E2C7B"/>
    <w:rsid w:val="688557CB"/>
    <w:rsid w:val="68931D4F"/>
    <w:rsid w:val="68C6406F"/>
    <w:rsid w:val="696B6709"/>
    <w:rsid w:val="69F2614B"/>
    <w:rsid w:val="6A1638AD"/>
    <w:rsid w:val="6AD60BF4"/>
    <w:rsid w:val="6B1B6F26"/>
    <w:rsid w:val="6B207FF0"/>
    <w:rsid w:val="6B243303"/>
    <w:rsid w:val="6B4551DF"/>
    <w:rsid w:val="6B9E2823"/>
    <w:rsid w:val="6C015241"/>
    <w:rsid w:val="6C2A7338"/>
    <w:rsid w:val="6C395DEB"/>
    <w:rsid w:val="6C396C7F"/>
    <w:rsid w:val="6C7B77BD"/>
    <w:rsid w:val="6C9045C8"/>
    <w:rsid w:val="6C992C34"/>
    <w:rsid w:val="6CA95923"/>
    <w:rsid w:val="6D756958"/>
    <w:rsid w:val="6DBF143F"/>
    <w:rsid w:val="6E465E06"/>
    <w:rsid w:val="6E634046"/>
    <w:rsid w:val="7002404A"/>
    <w:rsid w:val="70902C7F"/>
    <w:rsid w:val="71302CC8"/>
    <w:rsid w:val="718B3849"/>
    <w:rsid w:val="72BE1DE2"/>
    <w:rsid w:val="72C60166"/>
    <w:rsid w:val="72E347B1"/>
    <w:rsid w:val="72F4479B"/>
    <w:rsid w:val="73656E86"/>
    <w:rsid w:val="7377015A"/>
    <w:rsid w:val="739D2BFF"/>
    <w:rsid w:val="73A417AD"/>
    <w:rsid w:val="7473432C"/>
    <w:rsid w:val="74EB2B8E"/>
    <w:rsid w:val="759F4A75"/>
    <w:rsid w:val="75A01A91"/>
    <w:rsid w:val="75A62E64"/>
    <w:rsid w:val="75BB53FD"/>
    <w:rsid w:val="75D4225C"/>
    <w:rsid w:val="75DC1A37"/>
    <w:rsid w:val="75E8522A"/>
    <w:rsid w:val="75E96582"/>
    <w:rsid w:val="761146D7"/>
    <w:rsid w:val="76470CAA"/>
    <w:rsid w:val="764D1082"/>
    <w:rsid w:val="76555AD7"/>
    <w:rsid w:val="766F2799"/>
    <w:rsid w:val="76C82329"/>
    <w:rsid w:val="76EF67B8"/>
    <w:rsid w:val="770657ED"/>
    <w:rsid w:val="773B6256"/>
    <w:rsid w:val="773E7D21"/>
    <w:rsid w:val="774820D8"/>
    <w:rsid w:val="77CF1A71"/>
    <w:rsid w:val="78945BD5"/>
    <w:rsid w:val="78CF1E02"/>
    <w:rsid w:val="78DB2516"/>
    <w:rsid w:val="79094132"/>
    <w:rsid w:val="795A404C"/>
    <w:rsid w:val="79BA1A64"/>
    <w:rsid w:val="7A6E3EC4"/>
    <w:rsid w:val="7ABB56D8"/>
    <w:rsid w:val="7AF618A7"/>
    <w:rsid w:val="7BF3685D"/>
    <w:rsid w:val="7CA807FC"/>
    <w:rsid w:val="7D07233B"/>
    <w:rsid w:val="7D0B2EBD"/>
    <w:rsid w:val="7D3021F2"/>
    <w:rsid w:val="7D40391F"/>
    <w:rsid w:val="7DF96BCA"/>
    <w:rsid w:val="7E1251F4"/>
    <w:rsid w:val="7E6416AA"/>
    <w:rsid w:val="7E6D7AE1"/>
    <w:rsid w:val="7EE66F59"/>
    <w:rsid w:val="7F172C39"/>
    <w:rsid w:val="7F1A6E76"/>
    <w:rsid w:val="7F1F783D"/>
    <w:rsid w:val="7FA128C6"/>
    <w:rsid w:val="7FAF396D"/>
    <w:rsid w:val="7FF54A3E"/>
    <w:rsid w:val="E46DF715"/>
    <w:rsid w:val="EBBBE663"/>
    <w:rsid w:val="F5D5012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nhideWhenUsed="0" w:uiPriority="1" w:semiHidden="0" w:name="heading 2"/>
    <w:lsdException w:qFormat="1" w:uiPriority="1" w:semiHidden="0" w:name="heading 3"/>
    <w:lsdException w:qFormat="1" w:uiPriority="1" w:semiHidden="0" w:name="heading 4"/>
    <w:lsdException w:qFormat="1" w:uiPriority="1"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iPriority="1"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Courier New" w:cs="Times New Roman"/>
      <w:kern w:val="2"/>
      <w:sz w:val="21"/>
      <w:szCs w:val="21"/>
      <w:lang w:val="en-US" w:eastAsia="zh-CN" w:bidi="ar-SA"/>
    </w:rPr>
  </w:style>
  <w:style w:type="paragraph" w:styleId="4">
    <w:name w:val="heading 1"/>
    <w:basedOn w:val="1"/>
    <w:next w:val="1"/>
    <w:qFormat/>
    <w:uiPriority w:val="1"/>
    <w:pPr>
      <w:keepNext/>
      <w:keepLines/>
      <w:spacing w:before="340" w:after="330" w:line="576" w:lineRule="auto"/>
      <w:outlineLvl w:val="0"/>
    </w:pPr>
    <w:rPr>
      <w:b/>
      <w:kern w:val="44"/>
      <w:sz w:val="44"/>
    </w:rPr>
  </w:style>
  <w:style w:type="paragraph" w:styleId="5">
    <w:name w:val="heading 2"/>
    <w:basedOn w:val="1"/>
    <w:next w:val="1"/>
    <w:link w:val="30"/>
    <w:qFormat/>
    <w:uiPriority w:val="1"/>
    <w:pPr>
      <w:keepNext/>
      <w:keepLines/>
      <w:adjustRightInd w:val="0"/>
      <w:snapToGrid w:val="0"/>
      <w:spacing w:before="260" w:after="260" w:line="416" w:lineRule="auto"/>
      <w:ind w:firstLine="600" w:firstLineChars="200"/>
      <w:outlineLvl w:val="1"/>
    </w:pPr>
    <w:rPr>
      <w:rFonts w:ascii="Arial" w:hAnsi="Arial" w:eastAsia="Symbol"/>
      <w:b/>
      <w:bCs/>
      <w:sz w:val="32"/>
      <w:szCs w:val="32"/>
    </w:rPr>
  </w:style>
  <w:style w:type="paragraph" w:styleId="6">
    <w:name w:val="heading 3"/>
    <w:basedOn w:val="1"/>
    <w:next w:val="1"/>
    <w:unhideWhenUsed/>
    <w:qFormat/>
    <w:uiPriority w:val="1"/>
    <w:pPr>
      <w:keepNext/>
      <w:keepLines/>
      <w:spacing w:before="260" w:after="260" w:line="413" w:lineRule="auto"/>
      <w:outlineLvl w:val="2"/>
    </w:pPr>
    <w:rPr>
      <w:b/>
      <w:sz w:val="32"/>
    </w:rPr>
  </w:style>
  <w:style w:type="paragraph" w:styleId="7">
    <w:name w:val="heading 4"/>
    <w:basedOn w:val="1"/>
    <w:next w:val="1"/>
    <w:link w:val="35"/>
    <w:unhideWhenUsed/>
    <w:qFormat/>
    <w:uiPriority w:val="1"/>
    <w:pPr>
      <w:keepNext/>
      <w:keepLines/>
      <w:spacing w:before="280" w:after="290" w:line="376" w:lineRule="auto"/>
      <w:outlineLvl w:val="3"/>
    </w:pPr>
    <w:rPr>
      <w:rFonts w:asciiTheme="majorHAnsi" w:hAnsiTheme="majorHAnsi" w:eastAsiaTheme="majorEastAsia" w:cstheme="majorBidi"/>
      <w:b/>
      <w:bCs/>
      <w:sz w:val="28"/>
      <w:szCs w:val="28"/>
    </w:rPr>
  </w:style>
  <w:style w:type="paragraph" w:styleId="8">
    <w:name w:val="heading 5"/>
    <w:basedOn w:val="1"/>
    <w:next w:val="1"/>
    <w:link w:val="33"/>
    <w:unhideWhenUsed/>
    <w:qFormat/>
    <w:uiPriority w:val="1"/>
    <w:pPr>
      <w:keepNext/>
      <w:keepLines/>
      <w:spacing w:before="280" w:after="290" w:line="376" w:lineRule="auto"/>
      <w:outlineLvl w:val="4"/>
    </w:pPr>
    <w:rPr>
      <w:b/>
      <w:bCs/>
      <w:sz w:val="28"/>
      <w:szCs w:val="28"/>
    </w:rPr>
  </w:style>
  <w:style w:type="character" w:default="1" w:styleId="21">
    <w:name w:val="Default Paragraph Font"/>
    <w:unhideWhenUsed/>
    <w:qFormat/>
    <w:uiPriority w:val="1"/>
  </w:style>
  <w:style w:type="table" w:default="1" w:styleId="19">
    <w:name w:val="Normal Table"/>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ind w:firstLine="420"/>
    </w:pPr>
  </w:style>
  <w:style w:type="paragraph" w:styleId="3">
    <w:name w:val="Body Text Indent"/>
    <w:basedOn w:val="1"/>
    <w:next w:val="1"/>
    <w:qFormat/>
    <w:uiPriority w:val="0"/>
    <w:pPr>
      <w:spacing w:after="120"/>
      <w:ind w:left="420" w:leftChars="200"/>
      <w:jc w:val="left"/>
    </w:pPr>
    <w:rPr>
      <w:rFonts w:hint="eastAsia" w:ascii="宋体" w:hAnsi="宋体" w:eastAsia="宋体"/>
      <w:kern w:val="0"/>
      <w:sz w:val="24"/>
      <w:szCs w:val="24"/>
    </w:rPr>
  </w:style>
  <w:style w:type="paragraph" w:styleId="9">
    <w:name w:val="Normal Indent"/>
    <w:basedOn w:val="1"/>
    <w:next w:val="10"/>
    <w:qFormat/>
    <w:uiPriority w:val="0"/>
    <w:pPr>
      <w:spacing w:line="360" w:lineRule="auto"/>
      <w:ind w:firstLine="420" w:firstLineChars="200"/>
      <w:jc w:val="left"/>
    </w:pPr>
    <w:rPr>
      <w:rFonts w:ascii="仿宋_GB2312" w:hAnsi="Arial" w:eastAsia="仿宋_GB2312"/>
      <w:kern w:val="0"/>
      <w:sz w:val="30"/>
      <w:szCs w:val="30"/>
    </w:rPr>
  </w:style>
  <w:style w:type="paragraph" w:styleId="10">
    <w:name w:val="Body Text"/>
    <w:basedOn w:val="1"/>
    <w:link w:val="34"/>
    <w:unhideWhenUsed/>
    <w:qFormat/>
    <w:uiPriority w:val="1"/>
    <w:pPr>
      <w:spacing w:after="120"/>
    </w:pPr>
  </w:style>
  <w:style w:type="paragraph" w:styleId="11">
    <w:name w:val="annotation text"/>
    <w:basedOn w:val="1"/>
    <w:link w:val="26"/>
    <w:unhideWhenUsed/>
    <w:qFormat/>
    <w:uiPriority w:val="99"/>
    <w:pPr>
      <w:jc w:val="left"/>
    </w:pPr>
  </w:style>
  <w:style w:type="paragraph" w:styleId="12">
    <w:name w:val="Balloon Text"/>
    <w:basedOn w:val="1"/>
    <w:link w:val="36"/>
    <w:unhideWhenUsed/>
    <w:qFormat/>
    <w:uiPriority w:val="99"/>
    <w:rPr>
      <w:sz w:val="18"/>
      <w:szCs w:val="18"/>
    </w:rPr>
  </w:style>
  <w:style w:type="paragraph" w:styleId="13">
    <w:name w:val="footer"/>
    <w:basedOn w:val="1"/>
    <w:link w:val="25"/>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14">
    <w:name w:val="header"/>
    <w:basedOn w:val="1"/>
    <w:link w:val="24"/>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15">
    <w:name w:val="toc 1"/>
    <w:basedOn w:val="1"/>
    <w:next w:val="1"/>
    <w:unhideWhenUsed/>
    <w:qFormat/>
    <w:uiPriority w:val="39"/>
    <w:pPr>
      <w:tabs>
        <w:tab w:val="right" w:leader="dot" w:pos="8714"/>
      </w:tabs>
      <w:spacing w:before="60" w:line="360" w:lineRule="auto"/>
      <w:ind w:left="200" w:leftChars="200"/>
      <w:jc w:val="left"/>
    </w:pPr>
    <w:rPr>
      <w:rFonts w:eastAsia="Helvetica" w:cs="Courier"/>
      <w:bCs/>
      <w:caps/>
      <w:sz w:val="30"/>
      <w:szCs w:val="20"/>
    </w:rPr>
  </w:style>
  <w:style w:type="paragraph" w:styleId="16">
    <w:name w:val="Subtitle"/>
    <w:basedOn w:val="1"/>
    <w:next w:val="1"/>
    <w:link w:val="29"/>
    <w:qFormat/>
    <w:uiPriority w:val="11"/>
    <w:pPr>
      <w:spacing w:before="240" w:after="60" w:line="312" w:lineRule="auto"/>
      <w:jc w:val="center"/>
      <w:outlineLvl w:val="1"/>
    </w:pPr>
    <w:rPr>
      <w:rFonts w:asciiTheme="minorHAnsi" w:hAnsiTheme="minorHAnsi" w:eastAsiaTheme="minorEastAsia" w:cstheme="minorBidi"/>
      <w:b/>
      <w:bCs/>
      <w:kern w:val="28"/>
      <w:sz w:val="32"/>
      <w:szCs w:val="32"/>
    </w:rPr>
  </w:style>
  <w:style w:type="paragraph" w:styleId="17">
    <w:name w:val="toc 2"/>
    <w:basedOn w:val="1"/>
    <w:next w:val="1"/>
    <w:unhideWhenUsed/>
    <w:qFormat/>
    <w:uiPriority w:val="39"/>
    <w:pPr>
      <w:tabs>
        <w:tab w:val="right" w:leader="dot" w:pos="8714"/>
      </w:tabs>
      <w:spacing w:line="360" w:lineRule="auto"/>
      <w:ind w:left="350" w:leftChars="350"/>
      <w:jc w:val="left"/>
    </w:pPr>
    <w:rPr>
      <w:rFonts w:eastAsia="Tms Rmn" w:cs="Courier"/>
      <w:smallCaps/>
      <w:sz w:val="30"/>
      <w:szCs w:val="20"/>
    </w:rPr>
  </w:style>
  <w:style w:type="paragraph" w:styleId="18">
    <w:name w:val="annotation subject"/>
    <w:basedOn w:val="11"/>
    <w:next w:val="11"/>
    <w:link w:val="27"/>
    <w:unhideWhenUsed/>
    <w:qFormat/>
    <w:uiPriority w:val="99"/>
    <w:rPr>
      <w:b/>
      <w:bCs/>
    </w:rPr>
  </w:style>
  <w:style w:type="table" w:styleId="20">
    <w:name w:val="Table Grid"/>
    <w:basedOn w:val="19"/>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Hyperlink"/>
    <w:basedOn w:val="21"/>
    <w:unhideWhenUsed/>
    <w:qFormat/>
    <w:uiPriority w:val="99"/>
    <w:rPr>
      <w:color w:val="0563C1" w:themeColor="hyperlink"/>
      <w:u w:val="single"/>
      <w14:textFill>
        <w14:solidFill>
          <w14:schemeClr w14:val="hlink"/>
        </w14:solidFill>
      </w14:textFill>
    </w:rPr>
  </w:style>
  <w:style w:type="character" w:styleId="23">
    <w:name w:val="annotation reference"/>
    <w:basedOn w:val="21"/>
    <w:unhideWhenUsed/>
    <w:qFormat/>
    <w:uiPriority w:val="99"/>
    <w:rPr>
      <w:sz w:val="21"/>
      <w:szCs w:val="21"/>
    </w:rPr>
  </w:style>
  <w:style w:type="character" w:customStyle="1" w:styleId="24">
    <w:name w:val="页眉 Char"/>
    <w:basedOn w:val="21"/>
    <w:link w:val="14"/>
    <w:qFormat/>
    <w:uiPriority w:val="99"/>
    <w:rPr>
      <w:sz w:val="18"/>
      <w:szCs w:val="18"/>
    </w:rPr>
  </w:style>
  <w:style w:type="character" w:customStyle="1" w:styleId="25">
    <w:name w:val="页脚 Char"/>
    <w:basedOn w:val="21"/>
    <w:link w:val="13"/>
    <w:qFormat/>
    <w:uiPriority w:val="99"/>
    <w:rPr>
      <w:sz w:val="18"/>
      <w:szCs w:val="18"/>
    </w:rPr>
  </w:style>
  <w:style w:type="character" w:customStyle="1" w:styleId="26">
    <w:name w:val="批注文字 Char"/>
    <w:basedOn w:val="21"/>
    <w:link w:val="11"/>
    <w:qFormat/>
    <w:uiPriority w:val="99"/>
    <w:rPr>
      <w:rFonts w:ascii="Times New Roman" w:hAnsi="Times New Roman" w:eastAsia="Courier New" w:cs="Times New Roman"/>
      <w:szCs w:val="21"/>
    </w:rPr>
  </w:style>
  <w:style w:type="character" w:customStyle="1" w:styleId="27">
    <w:name w:val="批注主题 Char"/>
    <w:basedOn w:val="26"/>
    <w:link w:val="18"/>
    <w:semiHidden/>
    <w:qFormat/>
    <w:uiPriority w:val="99"/>
    <w:rPr>
      <w:rFonts w:ascii="Times New Roman" w:hAnsi="Times New Roman" w:eastAsia="Courier New" w:cs="Times New Roman"/>
      <w:b/>
      <w:bCs/>
      <w:szCs w:val="21"/>
    </w:rPr>
  </w:style>
  <w:style w:type="paragraph" w:customStyle="1" w:styleId="28">
    <w:name w:val="独立格式"/>
    <w:basedOn w:val="16"/>
    <w:qFormat/>
    <w:uiPriority w:val="1"/>
    <w:pPr>
      <w:spacing w:before="0" w:after="0" w:line="360" w:lineRule="auto"/>
      <w:outlineLvl w:val="9"/>
    </w:pPr>
    <w:rPr>
      <w:rFonts w:ascii="Times New Roman" w:hAnsi="Times New Roman" w:eastAsia="Tms Rmn" w:cs="Times New Roman"/>
      <w:b w:val="0"/>
      <w:bCs w:val="0"/>
      <w:kern w:val="2"/>
      <w:szCs w:val="52"/>
    </w:rPr>
  </w:style>
  <w:style w:type="character" w:customStyle="1" w:styleId="29">
    <w:name w:val="副标题 Char"/>
    <w:basedOn w:val="21"/>
    <w:link w:val="16"/>
    <w:qFormat/>
    <w:uiPriority w:val="11"/>
    <w:rPr>
      <w:b/>
      <w:bCs/>
      <w:kern w:val="28"/>
      <w:sz w:val="32"/>
      <w:szCs w:val="32"/>
    </w:rPr>
  </w:style>
  <w:style w:type="character" w:customStyle="1" w:styleId="30">
    <w:name w:val="标题 2 Char"/>
    <w:basedOn w:val="21"/>
    <w:link w:val="5"/>
    <w:qFormat/>
    <w:uiPriority w:val="9"/>
    <w:rPr>
      <w:rFonts w:ascii="Arial" w:hAnsi="Arial" w:eastAsia="Symbol" w:cs="Times New Roman"/>
      <w:b/>
      <w:bCs/>
      <w:sz w:val="32"/>
      <w:szCs w:val="32"/>
    </w:rPr>
  </w:style>
  <w:style w:type="paragraph" w:customStyle="1" w:styleId="31">
    <w:name w:val="表格名称"/>
    <w:basedOn w:val="1"/>
    <w:qFormat/>
    <w:uiPriority w:val="0"/>
    <w:pPr>
      <w:spacing w:line="360" w:lineRule="auto"/>
      <w:jc w:val="center"/>
    </w:pPr>
    <w:rPr>
      <w:rFonts w:eastAsia="Helv" w:cs="New York"/>
      <w:b/>
      <w:sz w:val="24"/>
      <w:szCs w:val="24"/>
    </w:rPr>
  </w:style>
  <w:style w:type="paragraph" w:customStyle="1" w:styleId="32">
    <w:name w:val="表格文字"/>
    <w:basedOn w:val="28"/>
    <w:next w:val="1"/>
    <w:qFormat/>
    <w:uiPriority w:val="0"/>
    <w:pPr>
      <w:spacing w:line="360" w:lineRule="exact"/>
    </w:pPr>
    <w:rPr>
      <w:rFonts w:eastAsia="Helv" w:cs="New York"/>
      <w:sz w:val="24"/>
    </w:rPr>
  </w:style>
  <w:style w:type="character" w:customStyle="1" w:styleId="33">
    <w:name w:val="标题 5 Char"/>
    <w:basedOn w:val="21"/>
    <w:link w:val="8"/>
    <w:semiHidden/>
    <w:qFormat/>
    <w:uiPriority w:val="9"/>
    <w:rPr>
      <w:rFonts w:ascii="Times New Roman" w:hAnsi="Times New Roman" w:eastAsia="Courier New" w:cs="Times New Roman"/>
      <w:b/>
      <w:bCs/>
      <w:sz w:val="28"/>
      <w:szCs w:val="28"/>
    </w:rPr>
  </w:style>
  <w:style w:type="character" w:customStyle="1" w:styleId="34">
    <w:name w:val="正文文本 Char"/>
    <w:basedOn w:val="21"/>
    <w:link w:val="10"/>
    <w:semiHidden/>
    <w:qFormat/>
    <w:uiPriority w:val="99"/>
    <w:rPr>
      <w:rFonts w:ascii="Times New Roman" w:hAnsi="Times New Roman" w:eastAsia="Courier New" w:cs="Times New Roman"/>
      <w:szCs w:val="21"/>
    </w:rPr>
  </w:style>
  <w:style w:type="character" w:customStyle="1" w:styleId="35">
    <w:name w:val="标题 4 Char"/>
    <w:basedOn w:val="21"/>
    <w:link w:val="7"/>
    <w:semiHidden/>
    <w:qFormat/>
    <w:uiPriority w:val="9"/>
    <w:rPr>
      <w:rFonts w:asciiTheme="majorHAnsi" w:hAnsiTheme="majorHAnsi" w:eastAsiaTheme="majorEastAsia" w:cstheme="majorBidi"/>
      <w:b/>
      <w:bCs/>
      <w:sz w:val="28"/>
      <w:szCs w:val="28"/>
    </w:rPr>
  </w:style>
  <w:style w:type="character" w:customStyle="1" w:styleId="36">
    <w:name w:val="批注框文本 Char"/>
    <w:basedOn w:val="21"/>
    <w:link w:val="12"/>
    <w:semiHidden/>
    <w:qFormat/>
    <w:uiPriority w:val="99"/>
    <w:rPr>
      <w:rFonts w:ascii="Times New Roman" w:hAnsi="Times New Roman" w:eastAsia="Courier New" w:cs="Times New Roman"/>
      <w:kern w:val="2"/>
      <w:sz w:val="18"/>
      <w:szCs w:val="18"/>
    </w:rPr>
  </w:style>
  <w:style w:type="table" w:customStyle="1" w:styleId="37">
    <w:name w:val="Table Normal"/>
    <w:unhideWhenUsed/>
    <w:qFormat/>
    <w:uiPriority w:val="2"/>
    <w:tblPr>
      <w:tblCellMar>
        <w:top w:w="0" w:type="dxa"/>
        <w:left w:w="0" w:type="dxa"/>
        <w:bottom w:w="0" w:type="dxa"/>
        <w:right w:w="0" w:type="dxa"/>
      </w:tblCellMar>
    </w:tblPr>
  </w:style>
  <w:style w:type="paragraph" w:customStyle="1" w:styleId="38">
    <w:name w:val="List Paragraph"/>
    <w:basedOn w:val="1"/>
    <w:qFormat/>
    <w:uiPriority w:val="1"/>
    <w:pPr>
      <w:autoSpaceDE w:val="0"/>
      <w:autoSpaceDN w:val="0"/>
      <w:ind w:left="109" w:right="99" w:firstLine="641"/>
      <w:jc w:val="left"/>
    </w:pPr>
    <w:rPr>
      <w:rFonts w:ascii="Arial Unicode MS" w:hAnsi="Arial Unicode MS" w:eastAsia="Arial Unicode MS" w:cs="Arial Unicode MS"/>
      <w:kern w:val="0"/>
      <w:sz w:val="22"/>
      <w:szCs w:val="22"/>
      <w:lang w:eastAsia="en-US"/>
    </w:rPr>
  </w:style>
  <w:style w:type="paragraph" w:customStyle="1" w:styleId="39">
    <w:name w:val="Table Paragraph"/>
    <w:basedOn w:val="1"/>
    <w:qFormat/>
    <w:uiPriority w:val="1"/>
    <w:pPr>
      <w:autoSpaceDE w:val="0"/>
      <w:autoSpaceDN w:val="0"/>
      <w:jc w:val="left"/>
    </w:pPr>
    <w:rPr>
      <w:rFonts w:ascii="宋体" w:hAnsi="宋体" w:eastAsia="宋体" w:cs="宋体"/>
      <w:kern w:val="0"/>
      <w:sz w:val="22"/>
      <w:szCs w:val="22"/>
      <w:lang w:eastAsia="en-US"/>
    </w:rPr>
  </w:style>
  <w:style w:type="paragraph" w:customStyle="1" w:styleId="40">
    <w:name w:val="_Style 39"/>
    <w:basedOn w:val="1"/>
    <w:next w:val="1"/>
    <w:qFormat/>
    <w:uiPriority w:val="0"/>
    <w:pPr>
      <w:pBdr>
        <w:bottom w:val="single" w:color="auto" w:sz="6" w:space="1"/>
      </w:pBdr>
      <w:jc w:val="center"/>
    </w:pPr>
    <w:rPr>
      <w:rFonts w:ascii="Arial" w:eastAsia="宋体"/>
      <w:vanish/>
      <w:sz w:val="16"/>
    </w:rPr>
  </w:style>
  <w:style w:type="paragraph" w:customStyle="1" w:styleId="41">
    <w:name w:val="_Style 40"/>
    <w:basedOn w:val="1"/>
    <w:next w:val="1"/>
    <w:qFormat/>
    <w:uiPriority w:val="0"/>
    <w:pPr>
      <w:pBdr>
        <w:top w:val="single" w:color="auto" w:sz="6" w:space="1"/>
      </w:pBdr>
      <w:jc w:val="center"/>
    </w:pPr>
    <w:rPr>
      <w:rFonts w:ascii="Arial" w:eastAsia="宋体"/>
      <w:vanish/>
      <w:sz w:val="16"/>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chart" Target="charts/chart2.xml"/><Relationship Id="rId6" Type="http://schemas.openxmlformats.org/officeDocument/2006/relationships/chart" Target="charts/chart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charts/_rels/chart1.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package" Target="../embeddings/Workbook1.xlsx"/></Relationships>
</file>

<file path=word/charts/_rels/chart2.xml.rels><?xml version="1.0" encoding="UTF-8" standalone="yes"?>
<Relationships xmlns="http://schemas.openxmlformats.org/package/2006/relationships"><Relationship Id="rId3" Type="http://schemas.microsoft.com/office/2011/relationships/chartColorStyle" Target="colors2.xml"/><Relationship Id="rId2" Type="http://schemas.microsoft.com/office/2011/relationships/chartStyle" Target="style2.xml"/><Relationship Id="rId1" Type="http://schemas.openxmlformats.org/officeDocument/2006/relationships/package" Target="../embeddings/Workbook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spPr/>
          <c:explosion val="0"/>
          <c:dPt>
            <c:idx val="0"/>
            <c:bubble3D val="0"/>
            <c:spPr>
              <a:solidFill>
                <a:schemeClr val="accent1"/>
              </a:solidFill>
              <a:ln>
                <a:noFill/>
              </a:ln>
              <a:effectLst>
                <a:outerShdw blurRad="254000" sx="102000" sy="102000" algn="ctr" rotWithShape="0">
                  <a:prstClr val="black">
                    <a:alpha val="20000"/>
                  </a:prstClr>
                </a:outerShdw>
              </a:effectLst>
            </c:spPr>
          </c:dPt>
          <c:dPt>
            <c:idx val="1"/>
            <c:bubble3D val="0"/>
            <c:spPr>
              <a:solidFill>
                <a:schemeClr val="accent2"/>
              </a:solidFill>
              <a:ln>
                <a:noFill/>
              </a:ln>
              <a:effectLst>
                <a:outerShdw blurRad="254000" sx="102000" sy="102000" algn="ctr" rotWithShape="0">
                  <a:prstClr val="black">
                    <a:alpha val="20000"/>
                  </a:prstClr>
                </a:outerShdw>
              </a:effectLst>
            </c:spPr>
          </c:dPt>
          <c:dPt>
            <c:idx val="2"/>
            <c:bubble3D val="0"/>
            <c:spPr>
              <a:solidFill>
                <a:schemeClr val="accent3"/>
              </a:solidFill>
              <a:ln>
                <a:noFill/>
              </a:ln>
              <a:effectLst>
                <a:outerShdw blurRad="254000" sx="102000" sy="102000" algn="ctr" rotWithShape="0">
                  <a:prstClr val="black">
                    <a:alpha val="20000"/>
                  </a:prstClr>
                </a:outerShdw>
              </a:effectLst>
            </c:spPr>
          </c:dPt>
          <c:dPt>
            <c:idx val="3"/>
            <c:bubble3D val="0"/>
            <c:spPr>
              <a:solidFill>
                <a:schemeClr val="accent4"/>
              </a:solidFill>
              <a:ln>
                <a:noFill/>
              </a:ln>
              <a:effectLst>
                <a:outerShdw blurRad="254000" sx="102000" sy="102000" algn="ctr" rotWithShape="0">
                  <a:prstClr val="black">
                    <a:alpha val="20000"/>
                  </a:prstClr>
                </a:outerShdw>
              </a:effectLst>
            </c:spPr>
          </c:dPt>
          <c:dPt>
            <c:idx val="4"/>
            <c:bubble3D val="0"/>
            <c:spPr>
              <a:solidFill>
                <a:schemeClr val="accent5"/>
              </a:solidFill>
              <a:ln>
                <a:noFill/>
              </a:ln>
              <a:effectLst>
                <a:outerShdw blurRad="254000" sx="102000" sy="102000" algn="ctr" rotWithShape="0">
                  <a:prstClr val="black">
                    <a:alpha val="20000"/>
                  </a:prstClr>
                </a:outerShdw>
              </a:effectLst>
            </c:spPr>
          </c:dPt>
          <c:dLbls>
            <c:dLbl>
              <c:idx val="0"/>
              <c:layout/>
              <c:tx>
                <c:rich>
                  <a:bodyPr rot="0" spcFirstLastPara="0" vertOverflow="ellipsis" vert="horz" wrap="square" lIns="38100" tIns="19050" rIns="38100" bIns="19050" anchor="ctr" anchorCtr="1"/>
                  <a:lstStyle/>
                  <a:p>
                    <a:pPr defTabSz="914400">
                      <a:defRPr lang="zh-CN" sz="1000" b="1" i="0" u="none" strike="noStrike" kern="1200" baseline="0">
                        <a:solidFill>
                          <a:schemeClr val="lt1"/>
                        </a:solidFill>
                        <a:latin typeface="+mn-lt"/>
                        <a:ea typeface="+mn-ea"/>
                        <a:cs typeface="+mn-cs"/>
                      </a:defRPr>
                    </a:pPr>
                    <a:r>
                      <a:t>5</a:t>
                    </a:r>
                    <a:r>
                      <a:rPr lang="en-US" altLang="zh-CN"/>
                      <a:t>1.44</a:t>
                    </a:r>
                    <a:r>
                      <a:t>%</a:t>
                    </a:r>
                  </a:p>
                </c:rich>
              </c:tx>
              <c:dLblPos val="ctr"/>
              <c:showLegendKey val="0"/>
              <c:showVal val="0"/>
              <c:showCatName val="0"/>
              <c:showSerName val="0"/>
              <c:showPercent val="1"/>
              <c:showBubbleSize val="0"/>
              <c:extLst>
                <c:ext xmlns:c15="http://schemas.microsoft.com/office/drawing/2012/chart" uri="{CE6537A1-D6FC-4f65-9D91-7224C49458BB}"/>
              </c:extLst>
            </c:dLbl>
            <c:dLbl>
              <c:idx val="1"/>
              <c:layout/>
              <c:tx>
                <c:rich>
                  <a:bodyPr rot="0" spcFirstLastPara="0" vertOverflow="ellipsis" vert="horz" wrap="square" lIns="38100" tIns="19050" rIns="38100" bIns="19050" anchor="ctr" anchorCtr="1"/>
                  <a:lstStyle/>
                  <a:p>
                    <a:pPr defTabSz="914400">
                      <a:defRPr lang="zh-CN" sz="1000" b="1" i="0" u="none" strike="noStrike" kern="1200" baseline="0">
                        <a:solidFill>
                          <a:schemeClr val="lt1"/>
                        </a:solidFill>
                        <a:latin typeface="+mn-lt"/>
                        <a:ea typeface="+mn-ea"/>
                        <a:cs typeface="+mn-cs"/>
                      </a:defRPr>
                    </a:pPr>
                    <a:r>
                      <a:rPr lang="en-US" altLang="zh-CN"/>
                      <a:t>7.4</a:t>
                    </a:r>
                    <a:r>
                      <a:t>%</a:t>
                    </a:r>
                  </a:p>
                </c:rich>
              </c:tx>
              <c:dLblPos val="ctr"/>
              <c:showLegendKey val="0"/>
              <c:showVal val="0"/>
              <c:showCatName val="0"/>
              <c:showSerName val="0"/>
              <c:showPercent val="1"/>
              <c:showBubbleSize val="0"/>
              <c:extLst>
                <c:ext xmlns:c15="http://schemas.microsoft.com/office/drawing/2012/chart" uri="{CE6537A1-D6FC-4f65-9D91-7224C49458BB}"/>
              </c:extLst>
            </c:dLbl>
            <c:dLbl>
              <c:idx val="2"/>
              <c:layout>
                <c:manualLayout>
                  <c:x val="0.144274245631948"/>
                  <c:y val="-0.0166781008537694"/>
                </c:manualLayout>
              </c:layout>
              <c:tx>
                <c:rich>
                  <a:bodyPr rot="0" spcFirstLastPara="0" vertOverflow="ellipsis" vert="horz" wrap="square" lIns="38100" tIns="19050" rIns="38100" bIns="19050" anchor="ctr" anchorCtr="1"/>
                  <a:lstStyle/>
                  <a:p>
                    <a:pPr defTabSz="914400">
                      <a:defRPr lang="zh-CN" sz="1000" b="1" i="0" u="none" strike="noStrike" kern="1200" baseline="0">
                        <a:solidFill>
                          <a:schemeClr val="lt1"/>
                        </a:solidFill>
                        <a:latin typeface="+mn-lt"/>
                        <a:ea typeface="+mn-ea"/>
                        <a:cs typeface="+mn-cs"/>
                      </a:defRPr>
                    </a:pPr>
                    <a:r>
                      <a:rPr lang="en-US" altLang="zh-CN"/>
                      <a:t>34.45</a:t>
                    </a:r>
                    <a:r>
                      <a:t>%</a:t>
                    </a:r>
                  </a:p>
                </c:rich>
              </c:tx>
              <c:dLblPos val="bestFit"/>
              <c:showLegendKey val="0"/>
              <c:showVal val="0"/>
              <c:showCatName val="0"/>
              <c:showSerName val="0"/>
              <c:showPercent val="1"/>
              <c:showBubbleSize val="0"/>
              <c:extLst>
                <c:ext xmlns:c15="http://schemas.microsoft.com/office/drawing/2012/chart" uri="{CE6537A1-D6FC-4f65-9D91-7224C49458BB}">
                  <c15:layout/>
                </c:ext>
              </c:extLst>
            </c:dLbl>
            <c:dLbl>
              <c:idx val="3"/>
              <c:layout/>
              <c:tx>
                <c:rich>
                  <a:bodyPr rot="0" spcFirstLastPara="0" vertOverflow="ellipsis" vert="horz" wrap="square" lIns="38100" tIns="19050" rIns="38100" bIns="19050" anchor="ctr" anchorCtr="1"/>
                  <a:lstStyle/>
                  <a:p>
                    <a:pPr defTabSz="914400">
                      <a:defRPr lang="zh-CN" sz="1000" b="1" i="0" u="none" strike="noStrike" kern="1200" baseline="0">
                        <a:solidFill>
                          <a:schemeClr val="lt1"/>
                        </a:solidFill>
                        <a:latin typeface="+mn-lt"/>
                        <a:ea typeface="+mn-ea"/>
                        <a:cs typeface="+mn-cs"/>
                      </a:defRPr>
                    </a:pPr>
                    <a:r>
                      <a:rPr lang="en-US" altLang="zh-CN"/>
                      <a:t>3.2</a:t>
                    </a:r>
                    <a:r>
                      <a:t>%</a:t>
                    </a:r>
                  </a:p>
                </c:rich>
              </c:tx>
              <c:dLblPos val="ctr"/>
              <c:showLegendKey val="0"/>
              <c:showVal val="0"/>
              <c:showCatName val="0"/>
              <c:showSerName val="0"/>
              <c:showPercent val="1"/>
              <c:showBubbleSize val="0"/>
              <c:extLst>
                <c:ext xmlns:c15="http://schemas.microsoft.com/office/drawing/2012/chart" uri="{CE6537A1-D6FC-4f65-9D91-7224C49458BB}"/>
              </c:extLst>
            </c:dLbl>
            <c:dLbl>
              <c:idx val="4"/>
              <c:layout/>
              <c:tx>
                <c:rich>
                  <a:bodyPr rot="0" spcFirstLastPara="0" vertOverflow="ellipsis" vert="horz" wrap="square" lIns="38100" tIns="19050" rIns="38100" bIns="19050" anchor="ctr" anchorCtr="1"/>
                  <a:lstStyle/>
                  <a:p>
                    <a:pPr defTabSz="914400">
                      <a:defRPr lang="zh-CN" sz="1000" b="1" i="0" u="none" strike="noStrike" kern="1200" baseline="0">
                        <a:solidFill>
                          <a:schemeClr val="lt1"/>
                        </a:solidFill>
                        <a:latin typeface="+mn-lt"/>
                        <a:ea typeface="+mn-ea"/>
                        <a:cs typeface="+mn-cs"/>
                      </a:defRPr>
                    </a:pPr>
                    <a:r>
                      <a:rPr lang="en-US" altLang="zh-CN"/>
                      <a:t>3.51</a:t>
                    </a:r>
                    <a:r>
                      <a:t>%</a:t>
                    </a:r>
                  </a:p>
                </c:rich>
              </c:tx>
              <c:dLblPos val="ctr"/>
              <c:showLegendKey val="0"/>
              <c:showVal val="0"/>
              <c:showCatName val="0"/>
              <c:showSerName val="0"/>
              <c:showPercent val="1"/>
              <c:showBubbleSize val="0"/>
              <c:extLst>
                <c:ext xmlns:c15="http://schemas.microsoft.com/office/drawing/2012/chart" uri="{CE6537A1-D6FC-4f65-9D91-7224C49458BB}"/>
              </c:extLst>
            </c:dLbl>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0" vertOverflow="ellipsis" vert="horz" wrap="square" lIns="38100" tIns="19050" rIns="38100" bIns="19050" anchor="ctr" anchorCtr="1"/>
              <a:lstStyle/>
              <a:p>
                <a:pPr>
                  <a:defRPr lang="zh-CN" sz="1000" b="1" i="0" u="none" strike="noStrike" kern="1200" baseline="0">
                    <a:solidFill>
                      <a:schemeClr val="lt1"/>
                    </a:solidFill>
                    <a:latin typeface="+mn-lt"/>
                    <a:ea typeface="+mn-ea"/>
                    <a:cs typeface="+mn-cs"/>
                  </a:defRPr>
                </a:pPr>
              </a:p>
            </c:txPr>
            <c:dLblPos val="ctr"/>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a:solidFill>
                        <a:schemeClr val="dk1">
                          <a:lumMod val="50000"/>
                          <a:lumOff val="50000"/>
                        </a:schemeClr>
                      </a:solidFill>
                    </a:ln>
                    <a:effectLst/>
                  </c:spPr>
                </c15:leaderLines>
              </c:ext>
            </c:extLst>
          </c:dLbls>
          <c:cat>
            <c:strRef>
              <c:f>Sheet1!$A$2:$A$6</c:f>
              <c:strCache>
                <c:ptCount val="5"/>
                <c:pt idx="0">
                  <c:v>本年一般公共预算收入</c:v>
                </c:pt>
                <c:pt idx="1">
                  <c:v>本年政府性基金预算收入</c:v>
                </c:pt>
                <c:pt idx="2">
                  <c:v>本年事业收入</c:v>
                </c:pt>
                <c:pt idx="3">
                  <c:v>上年结转结余的一般公共预算收入</c:v>
                </c:pt>
                <c:pt idx="4">
                  <c:v>上年结转结余的政府性基金预算收入</c:v>
                </c:pt>
              </c:strCache>
            </c:strRef>
          </c:cat>
          <c:val>
            <c:numRef>
              <c:f>Sheet1!$B$2:$B$6</c:f>
              <c:numCache>
                <c:formatCode>0.00%</c:formatCode>
                <c:ptCount val="5"/>
                <c:pt idx="0">
                  <c:v>0.5391</c:v>
                </c:pt>
                <c:pt idx="1">
                  <c:v>0.1</c:v>
                </c:pt>
                <c:pt idx="2">
                  <c:v>0.2512</c:v>
                </c:pt>
                <c:pt idx="3">
                  <c:v>0.05</c:v>
                </c:pt>
                <c:pt idx="4">
                  <c:v>0.05</c:v>
                </c:pt>
              </c:numCache>
            </c:numRef>
          </c:val>
        </c:ser>
        <c:dLbls>
          <c:showLegendKey val="0"/>
          <c:showVal val="0"/>
          <c:showCatName val="0"/>
          <c:showSerName val="0"/>
          <c:showPercent val="1"/>
          <c:showBubbleSize val="0"/>
          <c:showLeaderLines val="1"/>
        </c:dLbls>
        <c:firstSliceAng val="0"/>
      </c:pieChart>
      <c:spPr>
        <a:noFill/>
        <a:ln>
          <a:noFill/>
        </a:ln>
        <a:effectLst/>
      </c:spPr>
    </c:plotArea>
    <c:legend>
      <c:legendPos val="r"/>
      <c:layout>
        <c:manualLayout>
          <c:xMode val="edge"/>
          <c:yMode val="edge"/>
          <c:x val="0.663900414937759"/>
          <c:y val="0.0541176470588235"/>
          <c:w val="0.321454722968025"/>
          <c:h val="0.88"/>
        </c:manualLayout>
      </c:layout>
      <c:overlay val="0"/>
      <c:spPr>
        <a:solidFill>
          <a:schemeClr val="lt1">
            <a:lumMod val="95000"/>
            <a:alpha val="39000"/>
          </a:schemeClr>
        </a:solidFill>
        <a:ln>
          <a:noFill/>
        </a:ln>
        <a:effectLst/>
      </c:spPr>
      <c:txPr>
        <a:bodyPr rot="0" spcFirstLastPara="0" vertOverflow="ellipsis" vert="horz" wrap="square" anchor="ctr" anchorCtr="1"/>
        <a:lstStyle/>
        <a:p>
          <a:pPr>
            <a:defRPr lang="zh-CN" sz="900" b="0" i="0" u="none" strike="noStrike" kern="1200" baseline="0">
              <a:solidFill>
                <a:schemeClr val="dk1">
                  <a:lumMod val="75000"/>
                  <a:lumOff val="25000"/>
                </a:schemeClr>
              </a:solidFill>
              <a:latin typeface="+mn-lt"/>
              <a:ea typeface="+mn-ea"/>
              <a:cs typeface="+mn-cs"/>
            </a:defRPr>
          </a:pPr>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gradFill>
    <a:ln w="9525" cap="flat" cmpd="sng" algn="ctr">
      <a:solidFill>
        <a:schemeClr val="dk1">
          <a:lumMod val="25000"/>
          <a:lumOff val="75000"/>
        </a:schemeClr>
      </a:solidFill>
      <a:round/>
    </a:ln>
    <a:effectLst/>
  </c:spPr>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Sheet1!$B$1</c:f>
              <c:strCache>
                <c:ptCount val="1"/>
                <c:pt idx="0">
                  <c:v>列2</c:v>
                </c:pt>
              </c:strCache>
            </c:strRef>
          </c:tx>
          <c:spPr/>
          <c:explosion val="0"/>
          <c:dPt>
            <c:idx val="0"/>
            <c:bubble3D val="0"/>
            <c:spPr>
              <a:solidFill>
                <a:schemeClr val="accent1"/>
              </a:solidFill>
              <a:ln>
                <a:noFill/>
              </a:ln>
              <a:effectLst>
                <a:outerShdw blurRad="254000" sx="102000" sy="102000" algn="ctr" rotWithShape="0">
                  <a:prstClr val="black">
                    <a:alpha val="20000"/>
                  </a:prstClr>
                </a:outerShdw>
              </a:effectLst>
            </c:spPr>
          </c:dPt>
          <c:dPt>
            <c:idx val="1"/>
            <c:bubble3D val="0"/>
            <c:spPr>
              <a:solidFill>
                <a:schemeClr val="accent2"/>
              </a:solidFill>
              <a:ln>
                <a:noFill/>
              </a:ln>
              <a:effectLst>
                <a:outerShdw blurRad="254000" sx="102000" sy="102000" algn="ctr" rotWithShape="0">
                  <a:prstClr val="black">
                    <a:alpha val="20000"/>
                  </a:prstClr>
                </a:outerShdw>
              </a:effectLst>
            </c:spPr>
          </c:dPt>
          <c:dLbls>
            <c:dLbl>
              <c:idx val="0"/>
              <c:layout/>
              <c:tx>
                <c:rich>
                  <a:bodyPr rot="0" spcFirstLastPara="0" vertOverflow="ellipsis" vert="horz" wrap="square" lIns="38100" tIns="19050" rIns="38100" bIns="19050" anchor="ctr" anchorCtr="1"/>
                  <a:lstStyle/>
                  <a:p>
                    <a:pPr defTabSz="914400">
                      <a:defRPr lang="zh-CN" sz="1000" b="1" i="0" u="none" strike="noStrike" kern="1200" baseline="0">
                        <a:solidFill>
                          <a:schemeClr val="lt1"/>
                        </a:solidFill>
                        <a:latin typeface="+mn-lt"/>
                        <a:ea typeface="+mn-ea"/>
                        <a:cs typeface="+mn-cs"/>
                      </a:defRPr>
                    </a:pPr>
                    <a:r>
                      <a:t>7</a:t>
                    </a:r>
                    <a:r>
                      <a:rPr lang="en-US" altLang="zh-CN"/>
                      <a:t>7.6</a:t>
                    </a:r>
                    <a:r>
                      <a:t>%</a:t>
                    </a:r>
                  </a:p>
                </c:rich>
              </c:tx>
              <c:dLblPos val="ctr"/>
              <c:showLegendKey val="0"/>
              <c:showVal val="0"/>
              <c:showCatName val="0"/>
              <c:showSerName val="0"/>
              <c:showPercent val="1"/>
              <c:showBubbleSize val="0"/>
              <c:extLst>
                <c:ext xmlns:c15="http://schemas.microsoft.com/office/drawing/2012/chart" uri="{CE6537A1-D6FC-4f65-9D91-7224C49458BB}"/>
              </c:extLst>
            </c:dLbl>
            <c:dLbl>
              <c:idx val="1"/>
              <c:layout/>
              <c:tx>
                <c:rich>
                  <a:bodyPr rot="0" spcFirstLastPara="0" vertOverflow="ellipsis" vert="horz" wrap="square" lIns="38100" tIns="19050" rIns="38100" bIns="19050" anchor="ctr" anchorCtr="1"/>
                  <a:lstStyle/>
                  <a:p>
                    <a:pPr defTabSz="914400">
                      <a:defRPr lang="zh-CN" sz="1000" b="1" i="0" u="none" strike="noStrike" kern="1200" baseline="0">
                        <a:solidFill>
                          <a:schemeClr val="lt1"/>
                        </a:solidFill>
                        <a:latin typeface="+mn-lt"/>
                        <a:ea typeface="+mn-ea"/>
                        <a:cs typeface="+mn-cs"/>
                      </a:defRPr>
                    </a:pPr>
                    <a:r>
                      <a:t>22</a:t>
                    </a:r>
                    <a:r>
                      <a:rPr lang="en-US" altLang="zh-CN"/>
                      <a:t>.4</a:t>
                    </a:r>
                    <a:r>
                      <a:t>%</a:t>
                    </a:r>
                  </a:p>
                </c:rich>
              </c:tx>
              <c:dLblPos val="ctr"/>
              <c:showLegendKey val="0"/>
              <c:showVal val="0"/>
              <c:showCatName val="0"/>
              <c:showSerName val="0"/>
              <c:showPercent val="1"/>
              <c:showBubbleSize val="0"/>
              <c:extLst>
                <c:ext xmlns:c15="http://schemas.microsoft.com/office/drawing/2012/chart" uri="{CE6537A1-D6FC-4f65-9D91-7224C49458BB}"/>
              </c:extLst>
            </c:dLbl>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0" vertOverflow="ellipsis" vert="horz" wrap="square" lIns="38100" tIns="19050" rIns="38100" bIns="19050" anchor="ctr" anchorCtr="1"/>
              <a:lstStyle/>
              <a:p>
                <a:pPr>
                  <a:defRPr lang="zh-CN" sz="1000" b="1" i="0" u="none" strike="noStrike" kern="1200" baseline="0">
                    <a:solidFill>
                      <a:schemeClr val="lt1"/>
                    </a:solidFill>
                    <a:latin typeface="+mn-lt"/>
                    <a:ea typeface="+mn-ea"/>
                    <a:cs typeface="+mn-cs"/>
                  </a:defRPr>
                </a:pPr>
              </a:p>
            </c:txPr>
            <c:dLblPos val="ctr"/>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a:solidFill>
                        <a:schemeClr val="dk1">
                          <a:lumMod val="50000"/>
                          <a:lumOff val="50000"/>
                        </a:schemeClr>
                      </a:solidFill>
                    </a:ln>
                    <a:effectLst/>
                  </c:spPr>
                </c15:leaderLines>
              </c:ext>
            </c:extLst>
          </c:dLbls>
          <c:cat>
            <c:strRef>
              <c:f>Sheet1!$A$2:$A$3</c:f>
              <c:strCache>
                <c:ptCount val="2"/>
                <c:pt idx="0">
                  <c:v>基本支出</c:v>
                </c:pt>
                <c:pt idx="1">
                  <c:v>项目支出</c:v>
                </c:pt>
              </c:strCache>
            </c:strRef>
          </c:cat>
          <c:val>
            <c:numRef>
              <c:f>Sheet1!$B$2:$B$3</c:f>
              <c:numCache>
                <c:formatCode>0.00%</c:formatCode>
                <c:ptCount val="2"/>
                <c:pt idx="0">
                  <c:v>0.7772</c:v>
                </c:pt>
                <c:pt idx="1">
                  <c:v>0.2228</c:v>
                </c:pt>
              </c:numCache>
            </c:numRef>
          </c:val>
        </c:ser>
        <c:dLbls>
          <c:showLegendKey val="0"/>
          <c:showVal val="0"/>
          <c:showCatName val="0"/>
          <c:showSerName val="0"/>
          <c:showPercent val="1"/>
          <c:showBubbleSize val="0"/>
          <c:showLeaderLines val="1"/>
        </c:dLbls>
        <c:firstSliceAng val="0"/>
      </c:pieChart>
      <c:spPr>
        <a:noFill/>
        <a:ln>
          <a:noFill/>
        </a:ln>
        <a:effectLst/>
      </c:spPr>
    </c:plotArea>
    <c:legend>
      <c:legendPos val="r"/>
      <c:layout>
        <c:manualLayout>
          <c:xMode val="edge"/>
          <c:yMode val="edge"/>
          <c:x val="0.748647214854111"/>
          <c:y val="0.282451253481894"/>
          <c:w val="0.238620689655172"/>
          <c:h val="0.551532033426184"/>
        </c:manualLayout>
      </c:layout>
      <c:overlay val="0"/>
      <c:spPr>
        <a:solidFill>
          <a:schemeClr val="lt1">
            <a:lumMod val="95000"/>
            <a:alpha val="39000"/>
          </a:schemeClr>
        </a:solidFill>
        <a:ln>
          <a:noFill/>
        </a:ln>
        <a:effectLst/>
      </c:spPr>
      <c:txPr>
        <a:bodyPr rot="0" spcFirstLastPara="0" vertOverflow="ellipsis" vert="horz" wrap="square" anchor="ctr" anchorCtr="1"/>
        <a:lstStyle/>
        <a:p>
          <a:pPr>
            <a:defRPr lang="zh-CN" sz="900" b="0" i="0" u="none" strike="noStrike" kern="1200" baseline="0">
              <a:solidFill>
                <a:schemeClr val="dk1">
                  <a:lumMod val="75000"/>
                  <a:lumOff val="25000"/>
                </a:schemeClr>
              </a:solidFill>
              <a:latin typeface="+mn-lt"/>
              <a:ea typeface="+mn-ea"/>
              <a:cs typeface="+mn-cs"/>
            </a:defRPr>
          </a:pPr>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gradFill>
    <a:ln w="9525" cap="flat" cmpd="sng" algn="ctr">
      <a:solidFill>
        <a:schemeClr val="dk1">
          <a:lumMod val="25000"/>
          <a:lumOff val="75000"/>
        </a:schemeClr>
      </a:solidFill>
      <a:round/>
    </a:ln>
    <a:effectLst/>
  </c:spPr>
  <c:txPr>
    <a:bodyPr/>
    <a:lstStyle/>
    <a:p>
      <a:pPr>
        <a:defRPr lang="zh-CN"/>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3">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53">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29</Pages>
  <Words>7595</Words>
  <Characters>7852</Characters>
  <Lines>80</Lines>
  <Paragraphs>22</Paragraphs>
  <TotalTime>0</TotalTime>
  <ScaleCrop>false</ScaleCrop>
  <LinksUpToDate>false</LinksUpToDate>
  <CharactersWithSpaces>9241</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2022-09-07T01:41:00Z</dcterms:created>
  <dc:creator>Richard Meng</dc:creator>
  <cp:lastModifiedBy>Administrator</cp:lastModifiedBy>
  <cp:lastPrinted>2022-09-03T08:20:00Z</cp:lastPrinted>
  <dcterms:modified xsi:type="dcterms:W3CDTF">2025-03-11T12:17:35Z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F4D0967208394CB4AE76D901F171C719</vt:lpwstr>
  </property>
  <property fmtid="{D5CDD505-2E9C-101B-9397-08002B2CF9AE}" pid="4" name="commondata">
    <vt:lpwstr>eyJoZGlkIjoiMDUyZTZiOWNhNTRkM2JiNDQwZWRmZDZjZTIwNDhiY2IifQ==</vt:lpwstr>
  </property>
</Properties>
</file>