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2023年度锡林郭勒盟民政局综合保障中心</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决算公开报告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pPr>
      <w:r>
        <w:rPr>
          <w:rFonts w:hint="eastAsia" w:ascii="黑体" w:hAnsi="黑体" w:eastAsia="黑体" w:cs="黑体"/>
          <w:sz w:val="32"/>
          <w:szCs w:val="32"/>
        </w:rPr>
        <w:t>部门（单位）名称：锡林郭勒盟民政局综合保障中心</w:t>
      </w: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pPr>
      <w:r>
        <w:rPr>
          <w:rFonts w:hint="eastAsia" w:ascii="黑体" w:hAnsi="黑体" w:eastAsia="黑体" w:cs="黑体"/>
          <w:sz w:val="32"/>
          <w:szCs w:val="32"/>
        </w:rPr>
        <w:t>单位负责人：照日格图</w:t>
      </w: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pPr>
      <w:r>
        <w:rPr>
          <w:rFonts w:hint="eastAsia" w:ascii="黑体" w:hAnsi="黑体" w:eastAsia="黑体" w:cs="黑体"/>
          <w:sz w:val="32"/>
          <w:szCs w:val="32"/>
        </w:rPr>
        <w:t>财务负责人：照日格图</w:t>
      </w: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pPr>
      <w:r>
        <w:rPr>
          <w:rFonts w:hint="eastAsia" w:ascii="黑体" w:hAnsi="黑体" w:eastAsia="黑体" w:cs="黑体"/>
          <w:sz w:val="32"/>
          <w:szCs w:val="32"/>
        </w:rPr>
        <w:t>编制人：张立伟</w:t>
      </w: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pPr>
      <w:r>
        <w:rPr>
          <w:rFonts w:hint="eastAsia" w:ascii="黑体" w:hAnsi="黑体" w:eastAsia="黑体" w:cs="黑体"/>
          <w:sz w:val="32"/>
          <w:szCs w:val="32"/>
        </w:rPr>
        <w:t>报送日期：2024年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p>
    <w:p>
      <w:pPr>
        <w:pageBreakBefore w:val="0"/>
        <w:kinsoku/>
        <w:wordWrap/>
        <w:overflowPunct/>
        <w:topLinePunct w:val="0"/>
        <w:bidi w:val="0"/>
        <w:adjustRightInd w:val="0"/>
        <w:snapToGrid w:val="0"/>
        <w:spacing w:line="600" w:lineRule="exact"/>
        <w:ind w:firstLine="1280" w:firstLineChars="400"/>
        <w:jc w:val="left"/>
        <w:rPr>
          <w:rFonts w:hint="eastAsia" w:ascii="黑体" w:hAnsi="黑体" w:eastAsia="黑体" w:cs="黑体"/>
          <w:sz w:val="32"/>
          <w:szCs w:val="32"/>
        </w:rPr>
        <w:sectPr>
          <w:footerReference r:id="rId3" w:type="default"/>
          <w:pgSz w:w="11906" w:h="16838"/>
          <w:pgMar w:top="1440" w:right="1083" w:bottom="1440" w:left="1083" w:header="0" w:footer="720" w:gutter="0"/>
          <w:cols w:space="425" w:num="1"/>
          <w:docGrid w:type="lines" w:linePitch="312" w:charSpace="0"/>
        </w:sectPr>
      </w:pPr>
    </w:p>
    <w:p>
      <w:pPr>
        <w:pStyle w:val="5"/>
        <w:pageBreakBefore w:val="0"/>
        <w:tabs>
          <w:tab w:val="left" w:pos="4533"/>
        </w:tabs>
        <w:kinsoku/>
        <w:wordWrap/>
        <w:overflowPunct/>
        <w:topLinePunct w:val="0"/>
        <w:bidi w:val="0"/>
        <w:adjustRightInd w:val="0"/>
        <w:snapToGrid w:val="0"/>
        <w:spacing w:before="0" w:after="0" w:line="600" w:lineRule="exact"/>
        <w:ind w:firstLine="0" w:firstLineChars="0"/>
        <w:jc w:val="center"/>
        <w:rPr>
          <w:rFonts w:ascii="Arial" w:hAnsi="Arial" w:eastAsia="Symbol" w:cs="Times New Roman"/>
          <w:sz w:val="44"/>
          <w:szCs w:val="44"/>
        </w:rPr>
      </w:pPr>
      <w:bookmarkStart w:id="0" w:name="a000"/>
      <w:r>
        <w:rPr>
          <w:rFonts w:ascii="Arial" w:hAnsi="Arial" w:eastAsia="Symbol" w:cs="Times New Roman"/>
          <w:sz w:val="44"/>
          <w:szCs w:val="44"/>
        </w:rPr>
        <w:t>目 录</w:t>
      </w:r>
    </w:p>
    <w:p>
      <w:pPr>
        <w:widowControl/>
        <w:spacing w:before="240" w:after="240"/>
        <w:jc w:val="both"/>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pStyle w:val="10"/>
        <w:pageBreakBefore w:val="0"/>
        <w:kinsoku/>
        <w:wordWrap/>
        <w:overflowPunct/>
        <w:topLinePunct w:val="0"/>
        <w:bidi w:val="0"/>
        <w:spacing w:after="0" w:line="600" w:lineRule="exact"/>
        <w:jc w:val="both"/>
        <w:rPr>
          <w:rFonts w:hint="eastAsia" w:ascii="黑体" w:hAnsi="黑体" w:eastAsia="黑体" w:cs="黑体"/>
          <w:sz w:val="32"/>
          <w:szCs w:val="32"/>
        </w:rPr>
      </w:pPr>
      <w:r>
        <w:rPr>
          <w:rFonts w:hint="eastAsia" w:ascii="黑体" w:hAnsi="黑体" w:eastAsia="黑体" w:cs="黑体"/>
          <w:sz w:val="32"/>
          <w:szCs w:val="32"/>
        </w:rPr>
        <w:t>第一部分 单位概况</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二、部门（单位）机构设置及决算单位构成情况</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三、2023年度部门（单位）主要工作完成情况</w:t>
      </w:r>
    </w:p>
    <w:p>
      <w:pPr>
        <w:pStyle w:val="10"/>
        <w:pageBreakBefore w:val="0"/>
        <w:kinsoku/>
        <w:wordWrap/>
        <w:overflowPunct/>
        <w:topLinePunct w:val="0"/>
        <w:bidi w:val="0"/>
        <w:spacing w:after="0" w:line="600" w:lineRule="exact"/>
        <w:jc w:val="both"/>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hint="eastAsia" w:ascii="黑体" w:hAnsi="黑体" w:eastAsia="黑体" w:cs="黑体"/>
          <w:sz w:val="32"/>
          <w:szCs w:val="32"/>
          <w:lang w:val="en-US"/>
        </w:rPr>
        <w:t>单位</w:t>
      </w:r>
      <w:r>
        <w:rPr>
          <w:rFonts w:hint="eastAsia" w:ascii="黑体" w:hAnsi="黑体" w:eastAsia="黑体" w:cs="黑体"/>
          <w:sz w:val="32"/>
          <w:szCs w:val="32"/>
        </w:rPr>
        <w:t>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一、收入支出决算总体情况说明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二、收入决算情况说明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三、支出决算情况说明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四、财政拨款收入支出决算总体情况说明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五、一般公共预算财政拨款支出决算情况说明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六、一般公共预算财政拨款基本支出决算情况说明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七、一般公共预算财政拨款项目支出决算情况说明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八、财政拨款“三公”经费支出决算情况说明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九、政府性基金预算财政拨款支出决算情况说明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十、国有资本经营预算财政拨款支出决算情况说明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十一、机构运行经费支出决算情况说明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十二、政府采购支出决算情况说明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十三、国有资产占用情况说明</w:t>
      </w:r>
    </w:p>
    <w:p>
      <w:pPr>
        <w:pStyle w:val="10"/>
        <w:pageBreakBefore w:val="0"/>
        <w:kinsoku/>
        <w:wordWrap/>
        <w:overflowPunct/>
        <w:topLinePunct w:val="0"/>
        <w:bidi w:val="0"/>
        <w:spacing w:after="0" w:line="600" w:lineRule="exact"/>
        <w:jc w:val="both"/>
        <w:rPr>
          <w:rFonts w:hint="eastAsia" w:ascii="仿宋" w:hAnsi="仿宋" w:eastAsia="仿宋" w:cs="仿宋"/>
          <w:w w:val="95"/>
          <w:sz w:val="32"/>
          <w:szCs w:val="32"/>
        </w:rPr>
      </w:pPr>
      <w:r>
        <w:rPr>
          <w:rFonts w:hint="eastAsia" w:ascii="仿宋" w:hAnsi="仿宋" w:eastAsia="仿宋" w:cs="仿宋"/>
          <w:w w:val="95"/>
          <w:sz w:val="32"/>
          <w:szCs w:val="32"/>
        </w:rPr>
        <w:t>十四、预算绩效情况说明</w:t>
      </w:r>
    </w:p>
    <w:p>
      <w:pPr>
        <w:pStyle w:val="10"/>
        <w:pageBreakBefore w:val="0"/>
        <w:kinsoku/>
        <w:wordWrap/>
        <w:overflowPunct/>
        <w:topLinePunct w:val="0"/>
        <w:bidi w:val="0"/>
        <w:spacing w:after="0" w:line="600" w:lineRule="exact"/>
        <w:jc w:val="both"/>
        <w:rPr>
          <w:rFonts w:hint="eastAsia"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jc w:val="both"/>
        <w:rPr>
          <w:rFonts w:hint="eastAsia" w:ascii="黑体" w:hAnsi="黑体" w:eastAsia="黑体" w:cs="黑体"/>
          <w:sz w:val="32"/>
          <w:szCs w:val="32"/>
        </w:rPr>
      </w:pPr>
      <w:r>
        <w:rPr>
          <w:rFonts w:hint="eastAsia" w:ascii="黑体" w:hAnsi="黑体" w:eastAsia="黑体" w:cs="黑体"/>
          <w:sz w:val="32"/>
          <w:szCs w:val="32"/>
        </w:rPr>
        <w:t>第四部分 决算公开联系方式及信息反馈渠道</w:t>
      </w:r>
    </w:p>
    <w:p>
      <w:pPr>
        <w:keepNext w:val="0"/>
        <w:keepLines w:val="0"/>
        <w:widowControl/>
        <w:suppressLineNumbers w:val="0"/>
        <w:spacing w:before="0" w:beforeAutospacing="1" w:after="0" w:afterAutospacing="1" w:line="360" w:lineRule="auto"/>
        <w:ind w:left="0" w:right="0"/>
        <w:jc w:val="both"/>
        <w:rPr>
          <w:rFonts w:hint="eastAsia"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w:t>
      </w:r>
      <w:r>
        <w:rPr>
          <w:rFonts w:hint="eastAsia" w:ascii="黑体" w:hAnsi="黑体" w:eastAsia="黑体" w:cs="黑体"/>
          <w:sz w:val="32"/>
          <w:szCs w:val="32"/>
          <w:lang w:val="en-US"/>
        </w:rPr>
        <w:t>02</w:t>
      </w:r>
      <w:r>
        <w:rPr>
          <w:rFonts w:hint="eastAsia" w:ascii="黑体" w:hAnsi="黑体" w:eastAsia="黑体" w:cs="黑体"/>
          <w:sz w:val="32"/>
          <w:szCs w:val="32"/>
          <w:lang w:val="en-US" w:eastAsia="zh-CN"/>
        </w:rPr>
        <w:t>3</w:t>
      </w:r>
      <w:r>
        <w:rPr>
          <w:rFonts w:hint="eastAsia" w:ascii="黑体" w:hAnsi="黑体" w:eastAsia="黑体" w:cs="黑体"/>
          <w:sz w:val="32"/>
          <w:szCs w:val="32"/>
        </w:rPr>
        <w:t>年度</w:t>
      </w:r>
      <w:r>
        <w:rPr>
          <w:rFonts w:hint="eastAsia" w:ascii="黑体" w:hAnsi="黑体" w:eastAsia="黑体" w:cs="黑体"/>
          <w:sz w:val="32"/>
          <w:szCs w:val="32"/>
          <w:lang w:val="en-US"/>
        </w:rPr>
        <w:t>单位</w:t>
      </w:r>
      <w:r>
        <w:rPr>
          <w:rFonts w:hint="eastAsia" w:ascii="黑体" w:hAnsi="黑体" w:eastAsia="黑体" w:cs="黑体"/>
          <w:sz w:val="32"/>
          <w:szCs w:val="32"/>
        </w:rPr>
        <w:t>决算表</w:t>
      </w:r>
    </w:p>
    <w:p>
      <w:pPr>
        <w:jc w:val="both"/>
        <w:rPr>
          <w:rFonts w:hint="eastAsia" w:ascii="仿宋" w:hAnsi="仿宋" w:eastAsia="仿宋" w:cs="仿宋"/>
          <w:sz w:val="32"/>
          <w:szCs w:val="32"/>
        </w:rPr>
      </w:pPr>
      <w:r>
        <w:rPr>
          <w:rFonts w:hint="eastAsia" w:ascii="仿宋" w:hAnsi="仿宋" w:eastAsia="仿宋" w:cs="仿宋"/>
          <w:sz w:val="32"/>
          <w:szCs w:val="32"/>
        </w:rPr>
        <w:t>一、收入支出决算总表</w:t>
      </w:r>
    </w:p>
    <w:p>
      <w:pPr>
        <w:jc w:val="both"/>
        <w:rPr>
          <w:rFonts w:hint="eastAsia" w:ascii="仿宋" w:hAnsi="仿宋" w:eastAsia="仿宋" w:cs="仿宋"/>
          <w:sz w:val="32"/>
          <w:szCs w:val="32"/>
        </w:rPr>
      </w:pPr>
      <w:r>
        <w:rPr>
          <w:rFonts w:hint="eastAsia" w:ascii="仿宋" w:hAnsi="仿宋" w:eastAsia="仿宋" w:cs="仿宋"/>
          <w:sz w:val="32"/>
          <w:szCs w:val="32"/>
        </w:rPr>
        <w:t>二、收入决算表</w:t>
      </w:r>
    </w:p>
    <w:p>
      <w:pPr>
        <w:jc w:val="both"/>
        <w:rPr>
          <w:rFonts w:hint="eastAsia" w:ascii="仿宋" w:hAnsi="仿宋" w:eastAsia="仿宋" w:cs="仿宋"/>
          <w:sz w:val="32"/>
          <w:szCs w:val="32"/>
        </w:rPr>
      </w:pPr>
      <w:r>
        <w:rPr>
          <w:rFonts w:hint="eastAsia" w:ascii="仿宋" w:hAnsi="仿宋" w:eastAsia="仿宋" w:cs="仿宋"/>
          <w:sz w:val="32"/>
          <w:szCs w:val="32"/>
        </w:rPr>
        <w:t>三、支出决算表</w:t>
      </w:r>
    </w:p>
    <w:p>
      <w:pPr>
        <w:jc w:val="both"/>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jc w:val="both"/>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jc w:val="both"/>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jc w:val="both"/>
        <w:rPr>
          <w:rFonts w:hint="eastAsia" w:ascii="仿宋" w:hAnsi="仿宋" w:eastAsia="仿宋" w:cs="仿宋"/>
          <w:sz w:val="32"/>
          <w:szCs w:val="32"/>
        </w:rPr>
      </w:pPr>
      <w:r>
        <w:rPr>
          <w:rFonts w:hint="eastAsia" w:ascii="仿宋" w:hAnsi="仿宋" w:eastAsia="仿宋" w:cs="仿宋"/>
          <w:sz w:val="32"/>
          <w:szCs w:val="32"/>
        </w:rPr>
        <w:t>七、一般公共预算财政拨款项目支出决算明细表</w:t>
      </w:r>
    </w:p>
    <w:p>
      <w:pPr>
        <w:jc w:val="both"/>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jc w:val="both"/>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jc w:val="both"/>
        <w:rPr>
          <w:rFonts w:hint="eastAsia" w:ascii="仿宋" w:hAnsi="仿宋" w:eastAsia="仿宋" w:cs="仿宋"/>
          <w:sz w:val="32"/>
          <w:szCs w:val="32"/>
        </w:rPr>
      </w:pPr>
      <w:r>
        <w:rPr>
          <w:rFonts w:hint="eastAsia" w:ascii="仿宋" w:hAnsi="仿宋" w:eastAsia="仿宋" w:cs="仿宋"/>
          <w:sz w:val="32"/>
          <w:szCs w:val="32"/>
        </w:rPr>
        <w:t>十、财政拨款“三公”经费支出决算表</w:t>
      </w:r>
    </w:p>
    <w:p>
      <w:pPr>
        <w:jc w:val="both"/>
        <w:rPr>
          <w:rFonts w:hint="eastAsia" w:ascii="仿宋" w:hAnsi="仿宋" w:eastAsia="仿宋" w:cs="仿宋"/>
          <w:sz w:val="32"/>
          <w:szCs w:val="32"/>
        </w:rPr>
      </w:pPr>
      <w:r>
        <w:rPr>
          <w:rFonts w:hint="eastAsia" w:ascii="仿宋" w:hAnsi="仿宋" w:eastAsia="仿宋" w:cs="仿宋"/>
          <w:sz w:val="32"/>
          <w:szCs w:val="32"/>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hint="eastAsia" w:ascii="方正小标宋简体" w:hAnsi="方正小标宋简体" w:eastAsia="方正小标宋简体" w:cs="方正小标宋简体"/>
          <w:b/>
          <w:bCs/>
          <w:kern w:val="0"/>
          <w:sz w:val="36"/>
          <w:szCs w:val="36"/>
          <w:lang w:val="en-US" w:eastAsia="zh-CN" w:bidi="ar"/>
        </w:rPr>
      </w:pPr>
      <w:r>
        <w:rPr>
          <w:rFonts w:hint="eastAsia" w:ascii="方正小标宋简体" w:hAnsi="方正小标宋简体" w:eastAsia="方正小标宋简体" w:cs="方正小标宋简体"/>
          <w:b/>
          <w:bCs/>
          <w:kern w:val="0"/>
          <w:sz w:val="36"/>
          <w:szCs w:val="36"/>
          <w:lang w:val="en-US" w:eastAsia="zh-CN" w:bidi="ar"/>
        </w:rPr>
        <w:t>第一部分 单位概况</w:t>
      </w:r>
    </w:p>
    <w:p>
      <w:pPr>
        <w:keepNext w:val="0"/>
        <w:keepLines w:val="0"/>
        <w:pageBreakBefore w:val="0"/>
        <w:widowControl/>
        <w:kinsoku/>
        <w:wordWrap/>
        <w:overflowPunct/>
        <w:topLinePunct w:val="0"/>
        <w:autoSpaceDE/>
        <w:autoSpaceDN/>
        <w:bidi w:val="0"/>
        <w:adjustRightInd/>
        <w:snapToGrid/>
        <w:spacing w:line="640" w:lineRule="exact"/>
        <w:ind w:firstLine="358" w:firstLineChars="112"/>
        <w:jc w:val="left"/>
        <w:textAlignment w:val="auto"/>
        <w:rPr>
          <w:rFonts w:hint="eastAsia" w:ascii="Times New Roman" w:hAnsi="Times New Roman" w:eastAsia="黑体" w:cs="黑体"/>
          <w:b w:val="0"/>
          <w:bCs w:val="0"/>
          <w:sz w:val="32"/>
          <w:szCs w:val="36"/>
        </w:rPr>
      </w:pPr>
      <w:r>
        <w:rPr>
          <w:rFonts w:hint="eastAsia" w:ascii="Times New Roman" w:hAnsi="Times New Roman" w:eastAsia="黑体" w:cs="黑体"/>
          <w:b w:val="0"/>
          <w:bCs w:val="0"/>
          <w:sz w:val="32"/>
          <w:szCs w:val="36"/>
        </w:rPr>
        <w:t>一、主要职能、职责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w:t>
      </w:r>
      <w:r>
        <w:rPr>
          <w:rFonts w:hint="eastAsia" w:ascii="仿宋" w:hAnsi="仿宋" w:eastAsia="仿宋" w:cs="仿宋"/>
          <w:sz w:val="32"/>
          <w:szCs w:val="32"/>
          <w:lang w:val="en-US" w:eastAsia="zh-CN"/>
        </w:rPr>
        <w:t xml:space="preserve">一）主要职责任务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1.承担机关日常运等服务保障工作。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2.承担全盟民政事业的政策研究、服务保障等工作。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3.开展全盟养老服务政策、发展规划的调研、论证等辅助性工作。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4.开展养老示范性服务、规范化理、业务培训和宣传咨询等相关工作。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5.承担养老机构等级划分评定的服务性工作。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Times New Roman" w:cs="Times New Roman"/>
          <w:kern w:val="0"/>
          <w:sz w:val="24"/>
        </w:rPr>
      </w:pPr>
      <w:r>
        <w:rPr>
          <w:rFonts w:hint="eastAsia" w:ascii="仿宋" w:hAnsi="仿宋" w:eastAsia="仿宋" w:cs="仿宋"/>
          <w:sz w:val="32"/>
          <w:szCs w:val="32"/>
          <w:lang w:val="en-US" w:eastAsia="zh-CN"/>
        </w:rPr>
        <w:t>6.完成盟民政局交办的其他工作任务。</w:t>
      </w:r>
    </w:p>
    <w:p>
      <w:pPr>
        <w:keepNext w:val="0"/>
        <w:keepLines w:val="0"/>
        <w:pageBreakBefore w:val="0"/>
        <w:widowControl/>
        <w:kinsoku/>
        <w:wordWrap/>
        <w:overflowPunct/>
        <w:topLinePunct w:val="0"/>
        <w:autoSpaceDE/>
        <w:autoSpaceDN/>
        <w:bidi w:val="0"/>
        <w:adjustRightInd/>
        <w:snapToGrid/>
        <w:spacing w:before="240" w:after="240" w:line="640" w:lineRule="exact"/>
        <w:ind w:firstLine="358" w:firstLineChars="112"/>
        <w:jc w:val="left"/>
        <w:textAlignment w:val="auto"/>
        <w:rPr>
          <w:rFonts w:hint="eastAsia" w:ascii="Times New Roman" w:hAnsi="Times New Roman" w:eastAsia="黑体" w:cs="黑体"/>
          <w:b w:val="0"/>
          <w:bCs w:val="0"/>
          <w:sz w:val="32"/>
          <w:szCs w:val="36"/>
        </w:rPr>
      </w:pPr>
      <w:r>
        <w:rPr>
          <w:rFonts w:hint="eastAsia" w:ascii="Times New Roman" w:hAnsi="Times New Roman" w:eastAsia="黑体" w:cs="黑体"/>
          <w:b w:val="0"/>
          <w:bCs w:val="0"/>
          <w:sz w:val="32"/>
          <w:szCs w:val="36"/>
        </w:rPr>
        <w:t>二、部门（单位）机构设置及决算单位构成情况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 xml:space="preserve">根据部门（单位）职责分工，本部门（单位）内设机构无。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本部门（单位）无下属单位。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从预算单位构成看，纳入本部门（单位）</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年部门汇总决算编制范围的预算单位共计 </w:t>
      </w:r>
      <w:r>
        <w:rPr>
          <w:rFonts w:hint="default" w:ascii="仿宋" w:hAnsi="仿宋" w:eastAsia="仿宋" w:cs="仿宋"/>
          <w:sz w:val="32"/>
          <w:szCs w:val="32"/>
          <w:lang w:val="en-US" w:eastAsia="zh-CN"/>
        </w:rPr>
        <w:t xml:space="preserve">1 </w:t>
      </w:r>
      <w:r>
        <w:rPr>
          <w:rFonts w:hint="eastAsia" w:ascii="仿宋" w:hAnsi="仿宋" w:eastAsia="仿宋" w:cs="仿宋"/>
          <w:sz w:val="32"/>
          <w:szCs w:val="32"/>
          <w:lang w:val="en-US" w:eastAsia="zh-CN"/>
        </w:rPr>
        <w:t>家，具体包括：锡林郭勒盟民政局综合保障中心。</w:t>
      </w:r>
    </w:p>
    <w:p>
      <w:pPr>
        <w:keepNext w:val="0"/>
        <w:keepLines w:val="0"/>
        <w:pageBreakBefore w:val="0"/>
        <w:tabs>
          <w:tab w:val="left" w:pos="3532"/>
        </w:tabs>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p>
      <w:pPr>
        <w:pStyle w:val="2"/>
        <w:ind w:left="0" w:leftChars="0" w:firstLine="0" w:firstLineChars="0"/>
        <w:rPr>
          <w:rFonts w:hint="eastAsia" w:ascii="仿宋_GB2312" w:hAnsi="仿宋_GB2312" w:eastAsia="仿宋_GB2312" w:cs="仿宋_GB2312"/>
          <w:b/>
          <w:bCs/>
          <w:sz w:val="32"/>
          <w:szCs w:val="32"/>
        </w:rPr>
      </w:pPr>
    </w:p>
    <w:tbl>
      <w:tblPr>
        <w:tblStyle w:val="21"/>
        <w:tblpPr w:leftFromText="180" w:rightFromText="180" w:vertAnchor="text" w:horzAnchor="page" w:tblpX="1318" w:tblpY="190"/>
        <w:tblOverlap w:val="never"/>
        <w:tblW w:w="9774" w:type="dxa"/>
        <w:tblInd w:w="0" w:type="dxa"/>
        <w:tblLayout w:type="fixed"/>
        <w:tblCellMar>
          <w:top w:w="0" w:type="dxa"/>
          <w:left w:w="108" w:type="dxa"/>
          <w:bottom w:w="0" w:type="dxa"/>
          <w:right w:w="108" w:type="dxa"/>
        </w:tblCellMar>
      </w:tblPr>
      <w:tblGrid>
        <w:gridCol w:w="1303"/>
        <w:gridCol w:w="4607"/>
        <w:gridCol w:w="3864"/>
      </w:tblGrid>
      <w:tr>
        <w:tblPrEx>
          <w:tblCellMar>
            <w:top w:w="0" w:type="dxa"/>
            <w:left w:w="108" w:type="dxa"/>
            <w:bottom w:w="0" w:type="dxa"/>
            <w:right w:w="108" w:type="dxa"/>
          </w:tblCellMar>
        </w:tblPrEx>
        <w:trPr>
          <w:trHeight w:val="595"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2"/>
            </w:pPr>
          </w:p>
          <w:p>
            <w:pPr>
              <w:pStyle w:val="2"/>
            </w:pPr>
          </w:p>
        </w:tc>
        <w:tc>
          <w:tcPr>
            <w:tcW w:w="460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386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1303"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607"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default" w:ascii="仿宋_GB2312" w:hAnsi="Times New Roman" w:eastAsia="仿宋_GB2312" w:cs="Times New Roman"/>
                <w:sz w:val="28"/>
                <w:szCs w:val="28"/>
                <w:lang w:val="en-US" w:eastAsia="zh-CN"/>
              </w:rPr>
              <w:t>锡林郭勒盟民政局综合保障中心</w:t>
            </w:r>
          </w:p>
        </w:tc>
        <w:tc>
          <w:tcPr>
            <w:tcW w:w="3864"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_GB2312" w:hAnsi="Times New Roman" w:eastAsia="仿宋_GB2312" w:cs="Times New Roman"/>
                <w:sz w:val="28"/>
                <w:szCs w:val="28"/>
                <w:lang w:val="en-US" w:eastAsia="zh-CN"/>
              </w:rPr>
              <w:t>财政拨款的事业单位</w:t>
            </w:r>
          </w:p>
        </w:tc>
      </w:tr>
    </w:tbl>
    <w:p>
      <w:pPr>
        <w:widowControl/>
        <w:spacing w:before="240" w:after="240"/>
        <w:jc w:val="left"/>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before="240" w:after="240" w:line="640" w:lineRule="exact"/>
        <w:ind w:firstLine="358" w:firstLineChars="112"/>
        <w:jc w:val="left"/>
        <w:textAlignment w:val="auto"/>
        <w:rPr>
          <w:rFonts w:hint="eastAsia" w:ascii="Times New Roman" w:hAnsi="Times New Roman" w:eastAsia="黑体" w:cs="黑体"/>
          <w:b w:val="0"/>
          <w:bCs w:val="0"/>
          <w:sz w:val="32"/>
          <w:szCs w:val="36"/>
        </w:rPr>
      </w:pPr>
      <w:r>
        <w:rPr>
          <w:rFonts w:hint="eastAsia" w:ascii="Times New Roman" w:hAnsi="Times New Roman" w:eastAsia="黑体" w:cs="黑体"/>
          <w:b w:val="0"/>
          <w:bCs w:val="0"/>
          <w:sz w:val="32"/>
          <w:szCs w:val="36"/>
        </w:rPr>
        <w:t>三、2023年度部门（单位）主要工作完成情况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锡林郭勒盟民政局综合保障中心锡盟民政局党组的正确领导下，紧紧围绕中心工作任务和目标，发扬“甘于平凡、乐于奉献、勇于拼搏、敢于超越”的后勤精神，努力提升服务保障水平，开拓创新、务实进取，在机关后勤管理、服务、保障方面取得了一定成绩，完成了各项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机关后勤综合服务进一步强化。一是对局机关硬件设施进行改造升级。维修办公室窗户、桌椅，更换灯具，购买电风扇及加湿器等。二是保障局机关办公用品及耗材，及时补充办公用具，维修打印机等办公耗材。三是加强公务用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机关安全责任进一步落实。一是坚持日常巡查和节假日大检查相结合，在重要节假日、重要会议、活动前夕，开展安全教育，开展安全隐患巡检，发现隐患限期整改，责任到人。二是做好维护稳定工作。建立信访稳定风险台账，对可能影响信访稳定的因素进行系统分析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（三）会议承办能力进一步提高。一年来，中心组织和协助各科室顺利完成了多次大小会议的组织和服务。</w:t>
      </w:r>
    </w:p>
    <w:p>
      <w:pPr>
        <w:pStyle w:val="5"/>
        <w:keepNext w:val="0"/>
        <w:keepLines w:val="0"/>
        <w:widowControl/>
        <w:spacing w:before="299" w:after="299" w:line="240" w:lineRule="auto"/>
        <w:jc w:val="center"/>
        <w:rPr>
          <w:rFonts w:ascii="fang_zheng_xiao_biao_song_ti" w:hAnsi="fang_zheng_xiao_biao_song_ti" w:eastAsia="fang_zheng_xiao_biao_song_ti" w:cs="fang_zheng_xiao_biao_song_ti"/>
          <w:kern w:val="0"/>
          <w:sz w:val="36"/>
          <w:szCs w:val="36"/>
        </w:rPr>
      </w:pPr>
    </w:p>
    <w:p>
      <w:pPr>
        <w:rPr>
          <w:rFonts w:ascii="fang_zheng_xiao_biao_song_ti" w:hAnsi="fang_zheng_xiao_biao_song_ti" w:eastAsia="fang_zheng_xiao_biao_song_ti" w:cs="fang_zheng_xiao_biao_song_ti"/>
          <w:kern w:val="0"/>
          <w:sz w:val="36"/>
          <w:szCs w:val="36"/>
        </w:rPr>
      </w:pPr>
    </w:p>
    <w:p>
      <w:pPr>
        <w:pStyle w:val="2"/>
      </w:pPr>
    </w:p>
    <w:p>
      <w:pPr>
        <w:widowControl/>
        <w:spacing w:before="240" w:after="240"/>
        <w:jc w:val="center"/>
        <w:rPr>
          <w:rFonts w:hint="eastAsia" w:ascii="方正小标宋简体" w:hAnsi="方正小标宋简体" w:eastAsia="方正小标宋简体" w:cs="方正小标宋简体"/>
          <w:b/>
          <w:bCs/>
          <w:kern w:val="0"/>
          <w:sz w:val="36"/>
          <w:szCs w:val="36"/>
          <w:lang w:val="en-US" w:eastAsia="zh-CN" w:bidi="ar"/>
        </w:rPr>
      </w:pPr>
      <w:r>
        <w:rPr>
          <w:rFonts w:hint="eastAsia" w:ascii="方正小标宋简体" w:hAnsi="方正小标宋简体" w:eastAsia="方正小标宋简体" w:cs="方正小标宋简体"/>
          <w:b/>
          <w:bCs/>
          <w:kern w:val="0"/>
          <w:sz w:val="36"/>
          <w:szCs w:val="36"/>
          <w:lang w:val="en-US" w:eastAsia="zh-CN" w:bidi="ar"/>
        </w:rPr>
        <w:t>第二部分  2023年度单位决算情况说明</w:t>
      </w:r>
    </w:p>
    <w:p>
      <w:pPr>
        <w:widowControl/>
        <w:spacing w:before="240" w:after="240"/>
        <w:jc w:val="left"/>
        <w:rPr>
          <w:rFonts w:hint="eastAsia" w:ascii="仿宋" w:hAnsi="仿宋" w:eastAsia="黑体" w:cs="仿宋"/>
          <w:kern w:val="0"/>
          <w:sz w:val="32"/>
          <w:szCs w:val="32"/>
          <w:lang w:val="en-US" w:eastAsia="zh-CN"/>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Times New Roman" w:hAnsi="Times New Roman" w:eastAsia="黑体" w:cs="黑体"/>
          <w:b w:val="0"/>
          <w:bCs w:val="0"/>
          <w:sz w:val="32"/>
          <w:szCs w:val="36"/>
        </w:rPr>
        <w:t>一、收入支出决算总体情况说</w:t>
      </w:r>
      <w:r>
        <w:rPr>
          <w:rFonts w:hint="eastAsia" w:ascii="Times New Roman" w:hAnsi="Times New Roman" w:eastAsia="黑体" w:cs="黑体"/>
          <w:b w:val="0"/>
          <w:bCs w:val="0"/>
          <w:sz w:val="32"/>
          <w:szCs w:val="36"/>
          <w:lang w:val="en-US" w:eastAsia="zh-CN"/>
        </w:rPr>
        <w:t>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锡林郭勒盟民政局综合保障中</w:t>
      </w:r>
      <w:r>
        <w:rPr>
          <w:rFonts w:hint="eastAsia" w:ascii="仿宋" w:hAnsi="仿宋" w:eastAsia="仿宋" w:cs="仿宋"/>
          <w:kern w:val="0"/>
          <w:sz w:val="32"/>
          <w:szCs w:val="32"/>
          <w:lang w:val="en-US" w:eastAsia="zh-CN"/>
        </w:rPr>
        <w:t>心</w:t>
      </w:r>
      <w:r>
        <w:rPr>
          <w:rFonts w:hint="eastAsia" w:ascii="仿宋" w:hAnsi="仿宋" w:eastAsia="仿宋" w:cs="仿宋"/>
          <w:kern w:val="0"/>
          <w:sz w:val="32"/>
          <w:szCs w:val="32"/>
        </w:rPr>
        <w:t>2023年度收入、支出决算总计</w:t>
      </w:r>
      <w:r>
        <w:rPr>
          <w:rFonts w:hint="eastAsia" w:ascii="仿宋" w:hAnsi="仿宋" w:eastAsia="仿宋" w:cs="仿宋"/>
          <w:kern w:val="0"/>
          <w:sz w:val="32"/>
          <w:szCs w:val="32"/>
          <w:u w:val="single"/>
        </w:rPr>
        <w:t xml:space="preserve"> 90.77</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 xml:space="preserve"> 23.46</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34.85</w:t>
      </w:r>
      <w:r>
        <w:rPr>
          <w:rFonts w:hint="eastAsia" w:ascii="仿宋" w:hAnsi="仿宋" w:eastAsia="仿宋" w:cs="仿宋"/>
          <w:kern w:val="0"/>
          <w:sz w:val="32"/>
          <w:szCs w:val="32"/>
        </w:rPr>
        <w:t>%，变动原因：</w:t>
      </w:r>
      <w:r>
        <w:rPr>
          <w:rFonts w:hint="eastAsia" w:ascii="仿宋" w:hAnsi="仿宋" w:eastAsia="仿宋" w:cs="仿宋"/>
          <w:kern w:val="0"/>
          <w:sz w:val="32"/>
          <w:szCs w:val="32"/>
          <w:lang w:val="en-US" w:eastAsia="zh-CN"/>
        </w:rPr>
        <w:t>人员调资</w:t>
      </w:r>
      <w:r>
        <w:rPr>
          <w:rFonts w:hint="eastAsia" w:ascii="仿宋" w:hAnsi="仿宋" w:eastAsia="仿宋" w:cs="仿宋"/>
          <w:kern w:val="0"/>
          <w:sz w:val="32"/>
          <w:szCs w:val="32"/>
        </w:rPr>
        <w:t>；与上年决算相比，收、支总计各增加</w:t>
      </w:r>
      <w:r>
        <w:rPr>
          <w:rFonts w:hint="eastAsia" w:ascii="仿宋" w:hAnsi="仿宋" w:eastAsia="仿宋" w:cs="仿宋"/>
          <w:kern w:val="0"/>
          <w:sz w:val="32"/>
          <w:szCs w:val="32"/>
          <w:u w:val="single"/>
        </w:rPr>
        <w:t xml:space="preserve"> 27.60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43.70</w:t>
      </w:r>
      <w:r>
        <w:rPr>
          <w:rFonts w:hint="eastAsia" w:ascii="仿宋" w:hAnsi="仿宋" w:eastAsia="仿宋" w:cs="仿宋"/>
          <w:kern w:val="0"/>
          <w:sz w:val="32"/>
          <w:szCs w:val="32"/>
        </w:rPr>
        <w:t>%。其中：</w:t>
      </w:r>
    </w:p>
    <w:p>
      <w:pPr>
        <w:widowControl/>
        <w:spacing w:before="240" w:after="240"/>
        <w:ind w:firstLine="481"/>
        <w:jc w:val="left"/>
        <w:rPr>
          <w:rFonts w:hint="eastAsia" w:ascii="楷体" w:hAnsi="楷体" w:eastAsia="楷体" w:cs="楷体"/>
          <w:b/>
          <w:bCs/>
          <w:kern w:val="0"/>
          <w:sz w:val="32"/>
          <w:szCs w:val="32"/>
          <w:lang w:bidi="ar"/>
        </w:rPr>
      </w:pPr>
      <w:r>
        <w:rPr>
          <w:rFonts w:hint="eastAsia" w:ascii="楷体" w:hAnsi="楷体" w:eastAsia="楷体" w:cs="楷体"/>
          <w:b/>
          <w:bCs/>
          <w:kern w:val="0"/>
          <w:sz w:val="32"/>
          <w:szCs w:val="32"/>
          <w:lang w:bidi="ar"/>
        </w:rPr>
        <w:t>（一）收入决算总计 90.77万元。包括：</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jc w:val="both"/>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1.本年收入决算合计 90.77万元。与上年决算相比，增加27.60万元，增长 43.70%，变动原因：</w:t>
      </w:r>
      <w:r>
        <w:rPr>
          <w:rFonts w:hint="eastAsia" w:ascii="仿宋" w:hAnsi="仿宋" w:eastAsia="仿宋" w:cs="仿宋"/>
          <w:kern w:val="0"/>
          <w:sz w:val="32"/>
          <w:szCs w:val="32"/>
          <w:lang w:val="en-US" w:eastAsia="zh-CN"/>
        </w:rPr>
        <w:t>人员调资</w:t>
      </w:r>
      <w:r>
        <w:rPr>
          <w:rFonts w:hint="default" w:ascii="Times New Roman" w:hAnsi="Times New Roman" w:eastAsia="仿宋_GB2312" w:cs="Times New Roman"/>
          <w:sz w:val="32"/>
          <w:szCs w:val="32"/>
        </w:rPr>
        <w:t>。</w:t>
      </w:r>
    </w:p>
    <w:p>
      <w:pPr>
        <w:widowControl/>
        <w:spacing w:before="240" w:after="240"/>
        <w:ind w:firstLine="481"/>
        <w:jc w:val="both"/>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 xml:space="preserve"> 2.使用非财政拨款结余和专用结余 0.00万元。与上年决算相比，增加0.00万元，增长</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bidi="ar"/>
        </w:rPr>
        <w:t>%，变动原因：</w:t>
      </w:r>
      <w:r>
        <w:rPr>
          <w:rFonts w:hint="eastAsia" w:ascii="仿宋" w:hAnsi="仿宋" w:eastAsia="仿宋" w:cs="仿宋"/>
          <w:sz w:val="32"/>
          <w:szCs w:val="32"/>
          <w:lang w:val="en-US" w:eastAsia="zh-CN"/>
        </w:rPr>
        <w:t>不存在此项内容</w:t>
      </w:r>
      <w:r>
        <w:rPr>
          <w:rFonts w:hint="eastAsia" w:ascii="仿宋" w:hAnsi="仿宋" w:eastAsia="仿宋" w:cs="仿宋"/>
          <w:kern w:val="0"/>
          <w:sz w:val="32"/>
          <w:szCs w:val="32"/>
          <w:lang w:val="en-US" w:bidi="ar"/>
        </w:rPr>
        <w:t>。</w:t>
      </w:r>
    </w:p>
    <w:p>
      <w:pPr>
        <w:widowControl/>
        <w:spacing w:before="240" w:after="240"/>
        <w:ind w:firstLine="481"/>
        <w:jc w:val="both"/>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3.年初结转和结余 0.00万元。与上年决算相比，增加 0.00万元，增长</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bidi="ar"/>
        </w:rPr>
        <w:t>%，变动原因：</w:t>
      </w:r>
      <w:r>
        <w:rPr>
          <w:rFonts w:hint="eastAsia" w:ascii="仿宋" w:hAnsi="仿宋" w:eastAsia="仿宋" w:cs="仿宋"/>
          <w:sz w:val="32"/>
          <w:szCs w:val="32"/>
          <w:lang w:val="en-US" w:eastAsia="zh-CN"/>
        </w:rPr>
        <w:t>不存在此项内容</w:t>
      </w:r>
      <w:r>
        <w:rPr>
          <w:rFonts w:hint="eastAsia" w:ascii="仿宋" w:hAnsi="仿宋" w:eastAsia="仿宋" w:cs="仿宋"/>
          <w:kern w:val="0"/>
          <w:sz w:val="32"/>
          <w:szCs w:val="32"/>
          <w:lang w:val="en-US" w:bidi="ar"/>
        </w:rPr>
        <w:t>。</w:t>
      </w:r>
    </w:p>
    <w:p>
      <w:pPr>
        <w:widowControl/>
        <w:spacing w:before="240" w:after="240"/>
        <w:ind w:firstLine="481"/>
        <w:jc w:val="left"/>
        <w:rPr>
          <w:rFonts w:hint="eastAsia" w:ascii="楷体" w:hAnsi="楷体" w:eastAsia="楷体" w:cs="楷体"/>
          <w:b/>
          <w:bCs/>
          <w:kern w:val="0"/>
          <w:sz w:val="32"/>
          <w:szCs w:val="32"/>
          <w:lang w:bidi="ar"/>
        </w:rPr>
      </w:pPr>
      <w:r>
        <w:rPr>
          <w:rFonts w:hint="eastAsia" w:ascii="楷体" w:hAnsi="楷体" w:eastAsia="楷体" w:cs="楷体"/>
          <w:b/>
          <w:bCs/>
          <w:kern w:val="0"/>
          <w:sz w:val="32"/>
          <w:szCs w:val="32"/>
          <w:lang w:bidi="ar"/>
        </w:rPr>
        <w:t>（二）支出决算总计 90.77万元。包括：</w:t>
      </w:r>
    </w:p>
    <w:p>
      <w:pPr>
        <w:widowControl/>
        <w:spacing w:before="240" w:after="240"/>
        <w:ind w:firstLine="481"/>
        <w:jc w:val="both"/>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1.本年支出决算合计 90.77万元。与上年决算相比，增加27.60万元，增长43.69%，变动原因：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kern w:val="0"/>
          <w:sz w:val="32"/>
          <w:szCs w:val="32"/>
          <w:lang w:val="en-US" w:bidi="ar"/>
        </w:rPr>
        <w:t>。</w:t>
      </w:r>
    </w:p>
    <w:p>
      <w:pPr>
        <w:widowControl/>
        <w:spacing w:before="240" w:after="240"/>
        <w:ind w:firstLine="481"/>
        <w:jc w:val="both"/>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2.结余分配 0.00万元。结余分配事项：</w:t>
      </w:r>
      <w:r>
        <w:rPr>
          <w:rFonts w:hint="eastAsia" w:ascii="仿宋" w:hAnsi="仿宋" w:eastAsia="仿宋" w:cs="仿宋"/>
          <w:sz w:val="32"/>
          <w:szCs w:val="32"/>
          <w:lang w:val="en-US" w:eastAsia="zh-CN"/>
        </w:rPr>
        <w:t>不存在此项内容</w:t>
      </w:r>
      <w:r>
        <w:rPr>
          <w:rFonts w:hint="eastAsia" w:ascii="仿宋" w:hAnsi="仿宋" w:eastAsia="仿宋" w:cs="仿宋"/>
          <w:kern w:val="0"/>
          <w:sz w:val="32"/>
          <w:szCs w:val="32"/>
          <w:lang w:val="en-US" w:bidi="ar"/>
        </w:rPr>
        <w:t>。与上年决算相比，增加0.00万元，增长</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bidi="ar"/>
        </w:rPr>
        <w:t>%，变动原因</w:t>
      </w:r>
      <w:r>
        <w:rPr>
          <w:rFonts w:hint="eastAsia" w:ascii="仿宋" w:hAnsi="仿宋" w:eastAsia="仿宋" w:cs="仿宋"/>
          <w:kern w:val="0"/>
          <w:sz w:val="32"/>
          <w:szCs w:val="32"/>
          <w:lang w:val="en-US" w:eastAsia="zh-CN" w:bidi="ar"/>
        </w:rPr>
        <w:t>：</w:t>
      </w:r>
      <w:r>
        <w:rPr>
          <w:rFonts w:hint="eastAsia" w:ascii="仿宋" w:hAnsi="仿宋" w:eastAsia="仿宋" w:cs="仿宋"/>
          <w:sz w:val="32"/>
          <w:szCs w:val="32"/>
          <w:lang w:val="en-US" w:eastAsia="zh-CN"/>
        </w:rPr>
        <w:t>不存在此项内容。</w:t>
      </w:r>
    </w:p>
    <w:p>
      <w:pPr>
        <w:widowControl/>
        <w:spacing w:before="240" w:after="240"/>
        <w:ind w:firstLine="481"/>
        <w:jc w:val="left"/>
        <w:rPr>
          <w:rFonts w:hint="eastAsia" w:ascii="仿宋" w:hAnsi="仿宋" w:eastAsia="仿宋" w:cs="仿宋"/>
          <w:kern w:val="0"/>
          <w:sz w:val="32"/>
          <w:szCs w:val="32"/>
          <w:lang w:val="en-US" w:bidi="ar"/>
        </w:rPr>
      </w:pPr>
      <w:r>
        <w:rPr>
          <w:rFonts w:hint="eastAsia" w:ascii="仿宋" w:hAnsi="仿宋" w:eastAsia="仿宋" w:cs="仿宋"/>
          <w:kern w:val="0"/>
          <w:sz w:val="32"/>
          <w:szCs w:val="32"/>
          <w:lang w:val="en-US" w:bidi="ar"/>
        </w:rPr>
        <w:t>3.年末结转和结余 0.00万元。结转和结余事项：</w:t>
      </w:r>
      <w:r>
        <w:rPr>
          <w:rFonts w:hint="eastAsia" w:ascii="仿宋" w:hAnsi="仿宋" w:eastAsia="仿宋" w:cs="仿宋"/>
          <w:sz w:val="32"/>
          <w:szCs w:val="32"/>
          <w:lang w:val="en-US" w:eastAsia="zh-CN"/>
        </w:rPr>
        <w:t>不存在此项内容</w:t>
      </w:r>
      <w:r>
        <w:rPr>
          <w:rFonts w:hint="eastAsia" w:ascii="仿宋" w:hAnsi="仿宋" w:eastAsia="仿宋" w:cs="仿宋"/>
          <w:kern w:val="0"/>
          <w:sz w:val="32"/>
          <w:szCs w:val="32"/>
          <w:lang w:val="en-US" w:bidi="ar"/>
        </w:rPr>
        <w:t>。与上年决算相比，增加0.00万元，增长</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bidi="ar"/>
        </w:rPr>
        <w:t>%，变动原因：</w:t>
      </w:r>
      <w:r>
        <w:rPr>
          <w:rFonts w:hint="eastAsia" w:ascii="仿宋" w:hAnsi="仿宋" w:eastAsia="仿宋" w:cs="仿宋"/>
          <w:sz w:val="32"/>
          <w:szCs w:val="32"/>
          <w:lang w:val="en-US" w:eastAsia="zh-CN"/>
        </w:rPr>
        <w:t>不存在此项内容</w:t>
      </w:r>
      <w:r>
        <w:rPr>
          <w:rFonts w:hint="eastAsia" w:ascii="仿宋" w:hAnsi="仿宋" w:eastAsia="仿宋" w:cs="仿宋"/>
          <w:kern w:val="0"/>
          <w:sz w:val="32"/>
          <w:szCs w:val="32"/>
          <w:lang w:val="en-US" w:bidi="ar"/>
        </w:rPr>
        <w:t>。</w:t>
      </w:r>
    </w:p>
    <w:p>
      <w:pPr>
        <w:keepNext w:val="0"/>
        <w:keepLines w:val="0"/>
        <w:widowControl/>
        <w:suppressLineNumbers w:val="0"/>
        <w:spacing w:before="0" w:beforeAutospacing="1" w:after="0" w:afterAutospacing="1" w:line="600" w:lineRule="atLeast"/>
        <w:ind w:left="0" w:right="0" w:firstLine="643"/>
        <w:jc w:val="both"/>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二、收入决算情况说明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锡林郭勒盟民政局综合保障中心 2023年度本年收入决算合计 90.77万元，其中：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本年一般公共预算财政拨款收入 90.77万元，占 100.00%；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本年政府性基金预算财政拨款收入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本年国有资本经营预算财政拨款收入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本年上级补助收入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本年事业收入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本年经营收入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本年附属单位上缴收入 0.00万元，占 0.00%；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fang_song_gb2312" w:hAnsi="fang_song_gb2312" w:eastAsia="fang_song_gb2312" w:cs="fang_song_gb2312"/>
          <w:color w:val="0E00FE"/>
          <w:kern w:val="0"/>
          <w:sz w:val="27"/>
          <w:szCs w:val="27"/>
        </w:rPr>
      </w:pPr>
      <w:r>
        <w:rPr>
          <w:rFonts w:hint="eastAsia" w:ascii="仿宋" w:hAnsi="仿宋" w:eastAsia="仿宋" w:cs="仿宋"/>
          <w:sz w:val="32"/>
          <w:szCs w:val="32"/>
          <w:lang w:val="en-US"/>
        </w:rPr>
        <w:t>本年其他收入 0.00万元，占 0.00%。</w:t>
      </w:r>
    </w:p>
    <w:p>
      <w:pPr>
        <w:pStyle w:val="2"/>
        <w:ind w:left="0" w:leftChars="0" w:firstLine="0" w:firstLineChars="0"/>
        <w:jc w:val="center"/>
        <w:rPr>
          <w:rFonts w:ascii="fang_song_gb2312" w:hAnsi="fang_song_gb2312" w:eastAsia="fang_song_gb2312" w:cs="fang_song_gb2312"/>
          <w:color w:val="0E00FE"/>
          <w:kern w:val="0"/>
          <w:sz w:val="27"/>
          <w:szCs w:val="27"/>
        </w:rPr>
      </w:pPr>
      <w:r>
        <w:rPr>
          <w:rFonts w:hint="eastAsia" w:ascii="fang_song_gb2312" w:hAnsi="fang_song_gb2312" w:eastAsia="宋体" w:cs="fang_song_gb2312"/>
          <w:color w:val="0E00FE"/>
          <w:kern w:val="0"/>
          <w:sz w:val="27"/>
          <w:szCs w:val="27"/>
          <w:lang w:eastAsia="zh-CN"/>
        </w:rPr>
        <w:drawing>
          <wp:inline distT="0" distB="0" distL="114300" distR="114300">
            <wp:extent cx="4676140" cy="1940560"/>
            <wp:effectExtent l="4445" t="4445" r="5715" b="17145"/>
            <wp:docPr id="2" name="图表 2"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suppressLineNumbers w:val="0"/>
        <w:spacing w:before="0" w:beforeAutospacing="1" w:after="0" w:afterAutospacing="1" w:line="560" w:lineRule="atLeast"/>
        <w:ind w:left="0" w:right="0" w:firstLine="64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图1.收入决算图</w:t>
      </w:r>
    </w:p>
    <w:p>
      <w:pPr>
        <w:widowControl/>
        <w:spacing w:before="240" w:after="240"/>
        <w:ind w:firstLine="417"/>
        <w:jc w:val="left"/>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三、支出决算情况说明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锡林郭勒盟民政局综合保障中心 2023年度本年支出决算合计 90.77万元，其中：</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本年基本支出 90.77万元，占 100.00%</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本年项目支出 0.00万元，占 0.00%；</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本年上缴上级支出 0.00万元，占 0.00%；</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本年经营支出 0.00万元，占 0.00%；</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本年对附属单位补助支出 0.00万元，占 0.00%。</w:t>
      </w:r>
    </w:p>
    <w:p>
      <w:r>
        <w:t xml:space="preserve">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hint="eastAsia" w:ascii="fang_song_gb2312" w:hAnsi="fang_song_gb2312" w:eastAsia="宋体" w:cs="fang_song_gb2312"/>
          <w:kern w:val="0"/>
          <w:sz w:val="27"/>
          <w:szCs w:val="27"/>
          <w:lang w:eastAsia="zh-CN"/>
        </w:rPr>
      </w:pPr>
      <w:r>
        <w:rPr>
          <w:rFonts w:hint="eastAsia" w:ascii="仿宋" w:hAnsi="仿宋" w:eastAsia="仿宋" w:cs="仿宋"/>
          <w:sz w:val="32"/>
          <w:szCs w:val="32"/>
          <w:lang w:val="en-US"/>
        </w:rPr>
        <w:drawing>
          <wp:inline distT="0" distB="0" distL="114300" distR="114300">
            <wp:extent cx="4675505" cy="3080385"/>
            <wp:effectExtent l="4445" t="4445" r="6350" b="203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suppressLineNumbers w:val="0"/>
        <w:spacing w:before="0" w:beforeAutospacing="1" w:after="0" w:afterAutospacing="1" w:line="560" w:lineRule="atLeast"/>
        <w:ind w:right="0"/>
        <w:jc w:val="cente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lang w:bidi="ar"/>
        </w:rPr>
        <w:t>  四、财政拨款收入支出决算总体情况说明</w:t>
      </w:r>
    </w:p>
    <w:p>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锡林郭勒盟民政局综合保障中心 2023年度财政拨款收入、支出决算总计</w:t>
      </w:r>
      <w:r>
        <w:rPr>
          <w:rFonts w:hint="eastAsia" w:ascii="仿宋" w:hAnsi="仿宋" w:eastAsia="仿宋" w:cs="仿宋"/>
          <w:kern w:val="0"/>
          <w:sz w:val="32"/>
          <w:szCs w:val="32"/>
          <w:u w:val="single"/>
        </w:rPr>
        <w:t xml:space="preserve"> 90.77</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 xml:space="preserve"> 23.46</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34.84</w:t>
      </w:r>
      <w:r>
        <w:rPr>
          <w:rFonts w:hint="eastAsia" w:ascii="仿宋" w:hAnsi="仿宋" w:eastAsia="仿宋" w:cs="仿宋"/>
          <w:kern w:val="0"/>
          <w:sz w:val="32"/>
          <w:szCs w:val="32"/>
        </w:rPr>
        <w:t>%，变动原因：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kern w:val="0"/>
          <w:sz w:val="32"/>
          <w:szCs w:val="32"/>
        </w:rPr>
        <w:t>；与上年决算相比，收、支总计各增加</w:t>
      </w:r>
      <w:r>
        <w:rPr>
          <w:rFonts w:hint="eastAsia" w:ascii="仿宋" w:hAnsi="仿宋" w:eastAsia="仿宋" w:cs="仿宋"/>
          <w:kern w:val="0"/>
          <w:sz w:val="32"/>
          <w:szCs w:val="32"/>
          <w:u w:val="single"/>
        </w:rPr>
        <w:t xml:space="preserve"> 27.61</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 xml:space="preserve"> 43.70</w:t>
      </w:r>
      <w:r>
        <w:rPr>
          <w:rFonts w:hint="eastAsia" w:ascii="仿宋" w:hAnsi="仿宋" w:eastAsia="仿宋" w:cs="仿宋"/>
          <w:kern w:val="0"/>
          <w:sz w:val="32"/>
          <w:szCs w:val="32"/>
        </w:rPr>
        <w:t>%，变动原因：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kern w:val="0"/>
          <w:sz w:val="32"/>
          <w:szCs w:val="32"/>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lang w:bidi="ar"/>
        </w:rPr>
        <w:t>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锡林郭勒盟民政局综合保障中心 2023年度一般公共预算财政拨款支出决算 90.77万元。与年初预算 67.32万元相比，完成年初预算的 134.84%。其中：</w:t>
      </w:r>
      <w:r>
        <w:rPr>
          <w:rFonts w:ascii="fang_song_gb2312" w:hAnsi="fang_song_gb2312" w:eastAsia="fang_song_gb2312" w:cs="fang_song_gb2312"/>
          <w:kern w:val="0"/>
          <w:sz w:val="27"/>
          <w:szCs w:val="27"/>
        </w:rPr>
        <w:t xml:space="preserve">  </w:t>
      </w:r>
    </w:p>
    <w:p>
      <w:pPr>
        <w:widowControl/>
        <w:spacing w:before="240" w:after="24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w:t>
      </w:r>
      <w:r>
        <w:rPr>
          <w:rFonts w:hint="eastAsia" w:ascii="kai_ti_gb2312" w:hAnsi="kai_ti_gb2312" w:eastAsia="kai_ti_gb2312" w:cs="kai_ti_gb2312"/>
          <w:b/>
          <w:bCs/>
          <w:kern w:val="0"/>
          <w:sz w:val="27"/>
          <w:szCs w:val="27"/>
          <w:lang w:val="en-US" w:eastAsia="zh-CN"/>
        </w:rPr>
        <w:t>一</w:t>
      </w:r>
      <w:r>
        <w:rPr>
          <w:rFonts w:ascii="kai_ti_gb2312" w:hAnsi="kai_ti_gb2312" w:eastAsia="kai_ti_gb2312" w:cs="kai_ti_gb2312"/>
          <w:b/>
          <w:bCs/>
          <w:kern w:val="0"/>
          <w:sz w:val="27"/>
          <w:szCs w:val="27"/>
        </w:rPr>
        <w:t>）社会保障和就业支出（类）</w:t>
      </w:r>
    </w:p>
    <w:p>
      <w:pPr>
        <w:widowControl/>
        <w:spacing w:before="240" w:after="240"/>
        <w:ind w:firstLine="481"/>
        <w:rPr>
          <w:rFonts w:hint="eastAsia" w:ascii="仿宋" w:hAnsi="仿宋" w:eastAsia="仿宋" w:cs="仿宋"/>
          <w:kern w:val="0"/>
          <w:sz w:val="32"/>
          <w:szCs w:val="32"/>
        </w:rPr>
      </w:pPr>
      <w:r>
        <w:rPr>
          <w:rFonts w:hint="eastAsia" w:ascii="仿宋" w:hAnsi="仿宋" w:eastAsia="仿宋" w:cs="仿宋"/>
          <w:kern w:val="0"/>
          <w:sz w:val="32"/>
          <w:szCs w:val="32"/>
        </w:rPr>
        <w:t>社会保障和就业支出类决算数为 76.55万元，与年初预算相比增加 21.20万元。其中：</w:t>
      </w:r>
    </w:p>
    <w:p>
      <w:pPr>
        <w:widowControl/>
        <w:spacing w:before="240" w:after="240"/>
        <w:ind w:firstLine="481"/>
        <w:rPr>
          <w:rFonts w:hint="eastAsia" w:ascii="仿宋" w:hAnsi="仿宋" w:eastAsia="仿宋" w:cs="仿宋"/>
          <w:sz w:val="32"/>
          <w:szCs w:val="32"/>
        </w:rPr>
      </w:pPr>
      <w:r>
        <w:rPr>
          <w:rFonts w:hint="eastAsia" w:ascii="仿宋" w:hAnsi="仿宋" w:eastAsia="仿宋" w:cs="仿宋"/>
          <w:kern w:val="0"/>
          <w:sz w:val="32"/>
          <w:szCs w:val="32"/>
        </w:rPr>
        <w:t> </w:t>
      </w:r>
      <w:r>
        <w:rPr>
          <w:rFonts w:hint="eastAsia" w:ascii="仿宋" w:hAnsi="仿宋" w:eastAsia="仿宋" w:cs="仿宋"/>
          <w:sz w:val="32"/>
          <w:szCs w:val="32"/>
          <w:lang w:val="en-US"/>
        </w:rPr>
        <w:t>1</w:t>
      </w:r>
      <w:r>
        <w:rPr>
          <w:rFonts w:hint="eastAsia" w:ascii="仿宋" w:hAnsi="仿宋" w:eastAsia="仿宋" w:cs="仿宋"/>
          <w:sz w:val="32"/>
          <w:szCs w:val="32"/>
        </w:rPr>
        <w:t>．</w:t>
      </w:r>
      <w:r>
        <w:rPr>
          <w:rFonts w:hint="eastAsia" w:ascii="仿宋" w:hAnsi="仿宋" w:eastAsia="仿宋" w:cs="仿宋"/>
          <w:sz w:val="32"/>
          <w:szCs w:val="32"/>
          <w:lang w:val="en-US" w:eastAsia="zh-CN"/>
        </w:rPr>
        <w:t>民政管理事务</w:t>
      </w:r>
      <w:r>
        <w:rPr>
          <w:rFonts w:hint="eastAsia" w:ascii="仿宋" w:hAnsi="仿宋" w:eastAsia="仿宋" w:cs="仿宋"/>
          <w:sz w:val="32"/>
          <w:szCs w:val="32"/>
        </w:rPr>
        <w:t>（款）</w:t>
      </w:r>
      <w:r>
        <w:rPr>
          <w:rFonts w:hint="eastAsia" w:ascii="仿宋" w:hAnsi="仿宋" w:eastAsia="仿宋" w:cs="仿宋"/>
          <w:sz w:val="32"/>
          <w:szCs w:val="32"/>
          <w:lang w:val="en-US" w:eastAsia="zh-CN"/>
        </w:rPr>
        <w:t>机关服务</w:t>
      </w:r>
      <w:r>
        <w:rPr>
          <w:rFonts w:hint="eastAsia" w:ascii="仿宋" w:hAnsi="仿宋" w:eastAsia="仿宋" w:cs="仿宋"/>
          <w:sz w:val="32"/>
          <w:szCs w:val="32"/>
        </w:rPr>
        <w:t>（项）。年初预算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 xml:space="preserve"> 49.34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68.76</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139.35</w:t>
      </w:r>
      <w:r>
        <w:rPr>
          <w:rFonts w:hint="eastAsia" w:ascii="仿宋" w:hAnsi="仿宋" w:eastAsia="仿宋" w:cs="仿宋"/>
          <w:color w:val="0000FF"/>
          <w:sz w:val="32"/>
          <w:szCs w:val="32"/>
          <w:u w:val="single"/>
          <w:lang w:val="en-US"/>
        </w:rPr>
        <w:t> </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sz w:val="32"/>
          <w:szCs w:val="32"/>
        </w:rPr>
        <w:t>。</w:t>
      </w:r>
    </w:p>
    <w:p>
      <w:pPr>
        <w:widowControl/>
        <w:spacing w:before="240" w:after="240"/>
        <w:ind w:firstLine="481"/>
        <w:rPr>
          <w:rFonts w:hint="eastAsia" w:ascii="仿宋" w:hAnsi="仿宋" w:eastAsia="仿宋" w:cs="仿宋"/>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．行政事业单位养老支出（款）机关事业单位基本养老保险缴费支出（项）。年初预算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6.01</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7.79</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color w:val="auto"/>
          <w:sz w:val="32"/>
          <w:szCs w:val="32"/>
          <w:u w:val="single"/>
          <w:lang w:val="en-US"/>
        </w:rPr>
        <w:t> </w:t>
      </w:r>
      <w:r>
        <w:rPr>
          <w:rFonts w:hint="eastAsia" w:ascii="仿宋" w:hAnsi="仿宋" w:eastAsia="仿宋" w:cs="仿宋"/>
          <w:color w:val="auto"/>
          <w:sz w:val="32"/>
          <w:szCs w:val="32"/>
          <w:u w:val="single"/>
          <w:lang w:val="en-US" w:eastAsia="zh-CN"/>
        </w:rPr>
        <w:t>129.61</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sz w:val="32"/>
          <w:szCs w:val="32"/>
        </w:rPr>
        <w:t>。</w:t>
      </w:r>
    </w:p>
    <w:p>
      <w:pPr>
        <w:widowControl/>
        <w:spacing w:before="240" w:after="24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w:t>
      </w:r>
      <w:r>
        <w:rPr>
          <w:rFonts w:hint="eastAsia" w:ascii="kai_ti_gb2312" w:hAnsi="kai_ti_gb2312" w:eastAsia="kai_ti_gb2312" w:cs="kai_ti_gb2312"/>
          <w:b/>
          <w:bCs/>
          <w:kern w:val="0"/>
          <w:sz w:val="27"/>
          <w:szCs w:val="27"/>
          <w:lang w:val="en-US" w:eastAsia="zh-CN"/>
        </w:rPr>
        <w:t>二</w:t>
      </w:r>
      <w:r>
        <w:rPr>
          <w:rFonts w:ascii="kai_ti_gb2312" w:hAnsi="kai_ti_gb2312" w:eastAsia="kai_ti_gb2312" w:cs="kai_ti_gb2312"/>
          <w:b/>
          <w:bCs/>
          <w:kern w:val="0"/>
          <w:sz w:val="27"/>
          <w:szCs w:val="27"/>
        </w:rPr>
        <w:t>）卫生健康支出（类）</w:t>
      </w:r>
    </w:p>
    <w:p>
      <w:pPr>
        <w:widowControl/>
        <w:spacing w:before="240" w:after="240"/>
        <w:ind w:firstLine="481"/>
        <w:rPr>
          <w:rFonts w:hint="eastAsia" w:ascii="仿宋" w:hAnsi="仿宋" w:eastAsia="仿宋" w:cs="仿宋"/>
          <w:kern w:val="0"/>
          <w:sz w:val="32"/>
          <w:szCs w:val="32"/>
        </w:rPr>
      </w:pPr>
      <w:r>
        <w:rPr>
          <w:rFonts w:hint="eastAsia" w:ascii="仿宋" w:hAnsi="仿宋" w:eastAsia="仿宋" w:cs="仿宋"/>
          <w:kern w:val="0"/>
          <w:sz w:val="32"/>
          <w:szCs w:val="32"/>
        </w:rPr>
        <w:t>卫生健康支出类决算数为 3.77万元，与年初预算相比</w:t>
      </w:r>
      <w:r>
        <w:rPr>
          <w:rFonts w:hint="eastAsia" w:ascii="仿宋" w:hAnsi="仿宋" w:eastAsia="仿宋" w:cs="仿宋"/>
          <w:kern w:val="0"/>
          <w:sz w:val="32"/>
          <w:szCs w:val="32"/>
          <w:lang w:val="en-US" w:eastAsia="zh-CN"/>
        </w:rPr>
        <w:t>减少</w:t>
      </w:r>
      <w:r>
        <w:rPr>
          <w:rFonts w:hint="eastAsia" w:ascii="仿宋" w:hAnsi="仿宋" w:eastAsia="仿宋" w:cs="仿宋"/>
          <w:kern w:val="0"/>
          <w:sz w:val="32"/>
          <w:szCs w:val="32"/>
        </w:rPr>
        <w:t>0.26万元。其中：</w:t>
      </w:r>
    </w:p>
    <w:p>
      <w:pPr>
        <w:widowControl/>
        <w:spacing w:before="240" w:after="240"/>
        <w:ind w:firstLine="48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．行政事业单位医疗（款）事业单位医疗（项）。年初预算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2.24</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3.27</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color w:val="auto"/>
          <w:sz w:val="32"/>
          <w:szCs w:val="32"/>
          <w:u w:val="single"/>
          <w:lang w:val="en-US"/>
        </w:rPr>
        <w:t> </w:t>
      </w:r>
      <w:r>
        <w:rPr>
          <w:rFonts w:hint="eastAsia" w:ascii="仿宋" w:hAnsi="仿宋" w:eastAsia="仿宋" w:cs="仿宋"/>
          <w:color w:val="auto"/>
          <w:sz w:val="32"/>
          <w:szCs w:val="32"/>
          <w:u w:val="single"/>
          <w:lang w:val="en-US" w:eastAsia="zh-CN"/>
        </w:rPr>
        <w:t>157.58</w:t>
      </w:r>
      <w:r>
        <w:rPr>
          <w:rFonts w:hint="eastAsia" w:ascii="仿宋" w:hAnsi="仿宋" w:eastAsia="仿宋" w:cs="仿宋"/>
          <w:color w:val="auto"/>
          <w:sz w:val="32"/>
          <w:szCs w:val="32"/>
          <w:u w:val="single"/>
          <w:lang w:val="en-US"/>
        </w:rPr>
        <w:t> </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p>
    <w:p>
      <w:pPr>
        <w:widowControl/>
        <w:spacing w:before="240" w:after="240"/>
        <w:ind w:firstLine="481"/>
        <w:rPr>
          <w:rFonts w:hint="eastAsia" w:ascii="仿宋" w:hAnsi="仿宋" w:eastAsia="仿宋" w:cs="仿宋"/>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．行政事业单位医疗（款）公务员医疗补助（项）。年初预算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0.35</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rPr>
        <w:t>0.</w:t>
      </w:r>
      <w:r>
        <w:rPr>
          <w:rFonts w:hint="eastAsia" w:ascii="仿宋" w:hAnsi="仿宋" w:eastAsia="仿宋" w:cs="仿宋"/>
          <w:sz w:val="32"/>
          <w:szCs w:val="32"/>
          <w:u w:val="single"/>
          <w:lang w:val="en-US" w:eastAsia="zh-CN"/>
        </w:rPr>
        <w:t>50</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142.85</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p>
    <w:p>
      <w:pPr>
        <w:widowControl/>
        <w:spacing w:before="240" w:after="240"/>
        <w:ind w:firstLine="481"/>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w:t>
      </w:r>
      <w:r>
        <w:rPr>
          <w:rFonts w:hint="eastAsia" w:ascii="kai_ti_gb2312" w:hAnsi="kai_ti_gb2312" w:eastAsia="kai_ti_gb2312" w:cs="kai_ti_gb2312"/>
          <w:b/>
          <w:bCs/>
          <w:kern w:val="0"/>
          <w:sz w:val="27"/>
          <w:szCs w:val="27"/>
          <w:lang w:val="en-US" w:eastAsia="zh-CN"/>
        </w:rPr>
        <w:t>三</w:t>
      </w:r>
      <w:r>
        <w:rPr>
          <w:rFonts w:ascii="kai_ti_gb2312" w:hAnsi="kai_ti_gb2312" w:eastAsia="kai_ti_gb2312" w:cs="kai_ti_gb2312"/>
          <w:b/>
          <w:bCs/>
          <w:kern w:val="0"/>
          <w:sz w:val="27"/>
          <w:szCs w:val="27"/>
        </w:rPr>
        <w:t>）住房保障支出（类）</w:t>
      </w:r>
    </w:p>
    <w:p>
      <w:pPr>
        <w:widowControl/>
        <w:spacing w:before="240" w:after="240"/>
        <w:ind w:firstLine="48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住房保障支出类决算数为 10.45万元，与年初预算相比增加2.51万元。其中：</w:t>
      </w:r>
    </w:p>
    <w:p>
      <w:pPr>
        <w:widowControl/>
        <w:spacing w:before="240" w:after="240"/>
        <w:ind w:firstLine="481"/>
        <w:jc w:val="left"/>
        <w:rPr>
          <w:rFonts w:hint="eastAsia" w:ascii="仿宋" w:hAnsi="仿宋" w:eastAsia="仿宋" w:cs="仿宋"/>
          <w:sz w:val="32"/>
          <w:szCs w:val="32"/>
          <w:lang w:eastAsia="zh-CN"/>
        </w:rPr>
      </w:pPr>
      <w:r>
        <w:rPr>
          <w:rFonts w:hint="eastAsia" w:ascii="仿宋" w:hAnsi="仿宋" w:eastAsia="仿宋" w:cs="仿宋"/>
          <w:kern w:val="0"/>
          <w:sz w:val="32"/>
          <w:szCs w:val="32"/>
        </w:rPr>
        <w:t> </w:t>
      </w:r>
      <w:r>
        <w:rPr>
          <w:rFonts w:hint="eastAsia" w:ascii="仿宋" w:hAnsi="仿宋" w:eastAsia="仿宋" w:cs="仿宋"/>
          <w:sz w:val="32"/>
          <w:szCs w:val="32"/>
          <w:lang w:val="en-US"/>
        </w:rPr>
        <w:t>1</w:t>
      </w:r>
      <w:r>
        <w:rPr>
          <w:rFonts w:hint="eastAsia" w:ascii="仿宋" w:hAnsi="仿宋" w:eastAsia="仿宋" w:cs="仿宋"/>
          <w:sz w:val="32"/>
          <w:szCs w:val="32"/>
        </w:rPr>
        <w:t>．住房改革支出（款）住房公积金（项）。年初预算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5.55</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7.20</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 xml:space="preserve"> </w:t>
      </w:r>
      <w:r>
        <w:rPr>
          <w:rFonts w:hint="eastAsia" w:ascii="仿宋" w:hAnsi="仿宋" w:eastAsia="仿宋" w:cs="仿宋"/>
          <w:color w:val="auto"/>
          <w:sz w:val="32"/>
          <w:szCs w:val="32"/>
          <w:u w:val="single"/>
          <w:lang w:val="en-US" w:eastAsia="zh-CN"/>
        </w:rPr>
        <w:t>129.72</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r>
        <w:rPr>
          <w:rFonts w:hint="eastAsia" w:ascii="仿宋" w:hAnsi="仿宋" w:eastAsia="仿宋" w:cs="仿宋"/>
          <w:sz w:val="32"/>
          <w:szCs w:val="32"/>
          <w:lang w:eastAsia="zh-CN"/>
        </w:rPr>
        <w:t>。</w:t>
      </w:r>
    </w:p>
    <w:p>
      <w:pPr>
        <w:widowControl/>
        <w:spacing w:before="240" w:after="240"/>
        <w:ind w:firstLine="481"/>
        <w:jc w:val="left"/>
        <w:rPr>
          <w:rFonts w:hint="eastAsia" w:ascii="仿宋" w:hAnsi="仿宋" w:eastAsia="仿宋" w:cs="仿宋"/>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．住房改革支出（款）</w:t>
      </w:r>
      <w:r>
        <w:rPr>
          <w:rFonts w:hint="eastAsia" w:ascii="仿宋" w:hAnsi="仿宋" w:eastAsia="仿宋" w:cs="仿宋"/>
          <w:sz w:val="32"/>
          <w:szCs w:val="32"/>
          <w:lang w:val="en-US" w:eastAsia="zh-CN"/>
        </w:rPr>
        <w:t>购房补贴</w:t>
      </w:r>
      <w:r>
        <w:rPr>
          <w:rFonts w:hint="eastAsia" w:ascii="仿宋" w:hAnsi="仿宋" w:eastAsia="仿宋" w:cs="仿宋"/>
          <w:sz w:val="32"/>
          <w:szCs w:val="32"/>
        </w:rPr>
        <w:t>（项）。年初预算</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2.39</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万元，支出决算</w:t>
      </w:r>
      <w:r>
        <w:rPr>
          <w:rFonts w:hint="eastAsia" w:ascii="仿宋" w:hAnsi="仿宋" w:eastAsia="仿宋" w:cs="仿宋"/>
          <w:sz w:val="32"/>
          <w:szCs w:val="32"/>
          <w:u w:val="single"/>
          <w:lang w:val="en-US" w:eastAsia="zh-CN"/>
        </w:rPr>
        <w:t>3.25</w:t>
      </w:r>
      <w:r>
        <w:rPr>
          <w:rFonts w:hint="eastAsia" w:ascii="仿宋" w:hAnsi="仿宋" w:eastAsia="仿宋" w:cs="仿宋"/>
          <w:sz w:val="32"/>
          <w:szCs w:val="32"/>
        </w:rPr>
        <w:t>万元，完成年初预算的</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135.98</w:t>
      </w:r>
      <w:r>
        <w:rPr>
          <w:rFonts w:hint="eastAsia" w:ascii="仿宋" w:hAnsi="仿宋" w:eastAsia="仿宋" w:cs="仿宋"/>
          <w:sz w:val="32"/>
          <w:szCs w:val="32"/>
          <w:u w:val="single"/>
          <w:lang w:val="en-US"/>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。决算数与年初预算数的差异原因：</w:t>
      </w:r>
      <w:r>
        <w:rPr>
          <w:rFonts w:hint="eastAsia" w:ascii="仿宋" w:hAnsi="仿宋" w:eastAsia="仿宋" w:cs="仿宋"/>
          <w:sz w:val="32"/>
          <w:szCs w:val="32"/>
          <w:lang w:val="en-US" w:eastAsia="zh-CN"/>
        </w:rPr>
        <w:t>2022年底新考录2名人员，2023年人员调资及补发考录人员工资。</w:t>
      </w:r>
    </w:p>
    <w:p>
      <w:pPr>
        <w:widowControl/>
        <w:spacing w:before="240" w:after="240"/>
        <w:jc w:val="left"/>
        <w:rPr>
          <w:rFonts w:hint="eastAsia" w:ascii="黑体" w:hAnsi="黑体" w:eastAsia="黑体" w:cs="黑体"/>
          <w:b w:val="0"/>
          <w:bCs w:val="0"/>
          <w:kern w:val="0"/>
          <w:sz w:val="32"/>
          <w:szCs w:val="32"/>
          <w:lang w:bidi="ar"/>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lang w:bidi="ar"/>
        </w:rPr>
        <w:t xml:space="preserve"> 六、一般公共预算财政拨款基本支出决算情况说明</w:t>
      </w:r>
    </w:p>
    <w:p>
      <w:pPr>
        <w:widowControl/>
        <w:spacing w:before="240" w:after="240"/>
        <w:rPr>
          <w:rFonts w:hint="eastAsia" w:ascii="仿宋" w:hAnsi="仿宋" w:eastAsia="仿宋" w:cs="仿宋"/>
          <w:sz w:val="32"/>
          <w:szCs w:val="32"/>
          <w:lang w:val="en-US" w:eastAsia="zh-CN"/>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eastAsia="zh-CN"/>
        </w:rPr>
        <w:t>锡林郭勒盟民政局综合保障中心 2023年度一般公共预算财政拨款基本支出决算 90.77万元，其中：</w:t>
      </w:r>
    </w:p>
    <w:p>
      <w:pPr>
        <w:widowControl/>
        <w:spacing w:before="240" w:after="240"/>
        <w:ind w:firstLine="643" w:firstLineChars="200"/>
        <w:rPr>
          <w:rFonts w:hint="eastAsia" w:ascii="仿宋" w:hAnsi="仿宋" w:eastAsia="仿宋" w:cs="仿宋"/>
          <w:sz w:val="32"/>
          <w:szCs w:val="32"/>
        </w:rPr>
      </w:pPr>
      <w:r>
        <w:rPr>
          <w:rFonts w:hint="eastAsia" w:ascii="仿宋" w:hAnsi="仿宋" w:eastAsia="仿宋" w:cs="仿宋"/>
          <w:b/>
          <w:bCs/>
          <w:kern w:val="0"/>
          <w:sz w:val="32"/>
          <w:szCs w:val="32"/>
          <w:lang w:bidi="ar"/>
        </w:rPr>
        <w:t>（一）人员经费 87.92万元。</w:t>
      </w:r>
      <w:r>
        <w:rPr>
          <w:rFonts w:hint="eastAsia" w:ascii="仿宋" w:hAnsi="仿宋" w:eastAsia="仿宋" w:cs="仿宋"/>
          <w:sz w:val="32"/>
          <w:szCs w:val="32"/>
          <w:lang w:val="en-US" w:eastAsia="zh-CN"/>
        </w:rPr>
        <w:t>主要包括：</w:t>
      </w:r>
      <w:r>
        <w:rPr>
          <w:rFonts w:hint="eastAsia" w:ascii="仿宋" w:hAnsi="仿宋" w:eastAsia="仿宋" w:cs="仿宋"/>
          <w:sz w:val="32"/>
          <w:szCs w:val="32"/>
        </w:rPr>
        <w:t>基本工资</w:t>
      </w:r>
      <w:r>
        <w:rPr>
          <w:rFonts w:hint="eastAsia" w:ascii="仿宋" w:hAnsi="仿宋" w:eastAsia="仿宋" w:cs="仿宋"/>
          <w:sz w:val="32"/>
          <w:szCs w:val="32"/>
          <w:lang w:val="en-US" w:eastAsia="zh-CN"/>
        </w:rPr>
        <w:t>24万元</w:t>
      </w:r>
      <w:r>
        <w:rPr>
          <w:rFonts w:hint="eastAsia" w:ascii="仿宋" w:hAnsi="仿宋" w:eastAsia="仿宋" w:cs="仿宋"/>
          <w:sz w:val="32"/>
          <w:szCs w:val="32"/>
        </w:rPr>
        <w:t>、津贴补贴</w:t>
      </w:r>
      <w:r>
        <w:rPr>
          <w:rFonts w:hint="eastAsia" w:ascii="仿宋" w:hAnsi="仿宋" w:eastAsia="仿宋" w:cs="仿宋"/>
          <w:sz w:val="32"/>
          <w:szCs w:val="32"/>
          <w:lang w:val="en-US" w:eastAsia="zh-CN"/>
        </w:rPr>
        <w:t>12.96万元</w:t>
      </w:r>
      <w:r>
        <w:rPr>
          <w:rFonts w:hint="eastAsia" w:ascii="仿宋" w:hAnsi="仿宋" w:eastAsia="仿宋" w:cs="仿宋"/>
          <w:sz w:val="32"/>
          <w:szCs w:val="32"/>
        </w:rPr>
        <w:t>、奖金</w:t>
      </w:r>
      <w:r>
        <w:rPr>
          <w:rFonts w:hint="eastAsia" w:ascii="仿宋" w:hAnsi="仿宋" w:eastAsia="仿宋" w:cs="仿宋"/>
          <w:sz w:val="32"/>
          <w:szCs w:val="32"/>
          <w:lang w:val="en-US" w:eastAsia="zh-CN"/>
        </w:rPr>
        <w:t>5.75万元</w:t>
      </w:r>
      <w:r>
        <w:rPr>
          <w:rFonts w:hint="eastAsia" w:ascii="仿宋" w:hAnsi="仿宋" w:eastAsia="仿宋" w:cs="仿宋"/>
          <w:sz w:val="32"/>
          <w:szCs w:val="32"/>
        </w:rPr>
        <w:t>、绩效工资</w:t>
      </w:r>
      <w:r>
        <w:rPr>
          <w:rFonts w:hint="eastAsia" w:ascii="仿宋" w:hAnsi="仿宋" w:eastAsia="仿宋" w:cs="仿宋"/>
          <w:sz w:val="32"/>
          <w:szCs w:val="32"/>
          <w:lang w:val="en-US" w:eastAsia="zh-CN"/>
        </w:rPr>
        <w:t>20.29万元</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val="en-US" w:eastAsia="zh-CN"/>
        </w:rPr>
        <w:t>7.79万元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3.27万元</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0.50万元、其他社会保障缴费0.31万元、住房公积金7.20万元</w:t>
      </w:r>
      <w:r>
        <w:rPr>
          <w:rFonts w:hint="eastAsia" w:ascii="仿宋" w:hAnsi="仿宋" w:eastAsia="仿宋" w:cs="仿宋"/>
          <w:sz w:val="32"/>
          <w:szCs w:val="32"/>
          <w:lang w:eastAsia="zh-CN"/>
        </w:rPr>
        <w:t>、</w:t>
      </w:r>
      <w:r>
        <w:rPr>
          <w:rFonts w:hint="eastAsia" w:ascii="仿宋" w:hAnsi="仿宋" w:eastAsia="仿宋" w:cs="仿宋"/>
          <w:sz w:val="32"/>
          <w:szCs w:val="32"/>
        </w:rPr>
        <w:t>其他工资福利支出</w:t>
      </w:r>
      <w:r>
        <w:rPr>
          <w:rFonts w:hint="eastAsia" w:ascii="仿宋" w:hAnsi="仿宋" w:eastAsia="仿宋" w:cs="仿宋"/>
          <w:sz w:val="32"/>
          <w:szCs w:val="32"/>
          <w:lang w:val="en-US" w:eastAsia="zh-CN"/>
        </w:rPr>
        <w:t>5.84万元</w:t>
      </w:r>
      <w:r>
        <w:rPr>
          <w:rFonts w:hint="eastAsia" w:ascii="仿宋" w:hAnsi="仿宋" w:eastAsia="仿宋" w:cs="仿宋"/>
          <w:sz w:val="32"/>
          <w:szCs w:val="32"/>
        </w:rPr>
        <w:t>。</w:t>
      </w:r>
    </w:p>
    <w:p>
      <w:pPr>
        <w:widowControl/>
        <w:spacing w:before="240" w:after="240"/>
        <w:ind w:firstLine="643" w:firstLineChars="200"/>
        <w:rPr>
          <w:rFonts w:ascii="Times New Roman" w:hAnsi="Times New Roman" w:eastAsia="Times New Roman" w:cs="Times New Roman"/>
          <w:kern w:val="0"/>
          <w:sz w:val="24"/>
        </w:rPr>
      </w:pPr>
      <w:r>
        <w:rPr>
          <w:rFonts w:hint="eastAsia" w:ascii="仿宋" w:hAnsi="仿宋" w:eastAsia="仿宋" w:cs="仿宋"/>
          <w:b/>
          <w:bCs/>
          <w:kern w:val="0"/>
          <w:sz w:val="32"/>
          <w:szCs w:val="32"/>
          <w:lang w:bidi="ar"/>
        </w:rPr>
        <w:t>（二）公用经费 2.85万元。</w:t>
      </w:r>
      <w:r>
        <w:rPr>
          <w:rFonts w:hint="eastAsia" w:ascii="仿宋" w:hAnsi="仿宋" w:eastAsia="仿宋" w:cs="仿宋"/>
          <w:sz w:val="32"/>
          <w:szCs w:val="32"/>
        </w:rPr>
        <w:t>主要包括主要包括：办公费</w:t>
      </w:r>
      <w:r>
        <w:rPr>
          <w:rFonts w:hint="eastAsia" w:ascii="仿宋" w:hAnsi="仿宋" w:eastAsia="仿宋" w:cs="仿宋"/>
          <w:sz w:val="32"/>
          <w:szCs w:val="32"/>
          <w:lang w:val="en-US" w:eastAsia="zh-CN"/>
        </w:rPr>
        <w:t>0.84万元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0.93万元</w:t>
      </w:r>
      <w:r>
        <w:rPr>
          <w:rFonts w:hint="eastAsia" w:ascii="仿宋" w:hAnsi="仿宋" w:eastAsia="仿宋" w:cs="仿宋"/>
          <w:sz w:val="32"/>
          <w:szCs w:val="32"/>
        </w:rPr>
        <w:t>、福利费</w:t>
      </w:r>
      <w:r>
        <w:rPr>
          <w:rFonts w:hint="eastAsia" w:ascii="仿宋" w:hAnsi="仿宋" w:eastAsia="仿宋" w:cs="仿宋"/>
          <w:sz w:val="32"/>
          <w:szCs w:val="32"/>
          <w:lang w:val="en-US" w:eastAsia="zh-CN"/>
        </w:rPr>
        <w:t>0.82万元、</w:t>
      </w:r>
      <w:r>
        <w:rPr>
          <w:rFonts w:hint="eastAsia" w:ascii="仿宋" w:hAnsi="仿宋" w:eastAsia="仿宋" w:cs="仿宋"/>
          <w:sz w:val="32"/>
          <w:szCs w:val="32"/>
        </w:rPr>
        <w:t>办公设备购置</w:t>
      </w:r>
      <w:r>
        <w:rPr>
          <w:rFonts w:hint="eastAsia" w:ascii="仿宋" w:hAnsi="仿宋" w:eastAsia="仿宋" w:cs="仿宋"/>
          <w:sz w:val="32"/>
          <w:szCs w:val="32"/>
          <w:lang w:val="en-US" w:eastAsia="zh-CN"/>
        </w:rPr>
        <w:t>0.26万元</w:t>
      </w:r>
      <w:r>
        <w:rPr>
          <w:rFonts w:hint="eastAsia" w:ascii="仿宋" w:hAnsi="仿宋" w:eastAsia="仿宋" w:cs="仿宋"/>
          <w:sz w:val="32"/>
          <w:szCs w:val="32"/>
        </w:rPr>
        <w:t>。</w:t>
      </w:r>
    </w:p>
    <w:p>
      <w:pPr>
        <w:widowControl/>
        <w:spacing w:before="240" w:after="240"/>
        <w:ind w:firstLine="445"/>
        <w:jc w:val="left"/>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bidi="ar"/>
        </w:rPr>
        <w:t>七、一般公共预算财政拨款项目支出决算情况说</w:t>
      </w:r>
      <w:r>
        <w:rPr>
          <w:rFonts w:hint="eastAsia" w:ascii="黑体" w:hAnsi="黑体" w:eastAsia="黑体" w:cs="黑体"/>
          <w:b w:val="0"/>
          <w:bCs w:val="0"/>
          <w:kern w:val="0"/>
          <w:sz w:val="32"/>
          <w:szCs w:val="32"/>
          <w:lang w:val="en-US" w:eastAsia="zh-CN" w:bidi="ar"/>
        </w:rPr>
        <w:t>明</w:t>
      </w:r>
    </w:p>
    <w:p>
      <w:pPr>
        <w:widowControl/>
        <w:spacing w:before="240" w:after="240"/>
        <w:ind w:firstLine="640" w:firstLineChars="200"/>
        <w:rPr>
          <w:rFonts w:hint="eastAsia" w:ascii="仿宋" w:hAnsi="仿宋" w:eastAsia="仿宋" w:cs="仿宋"/>
          <w:sz w:val="32"/>
          <w:szCs w:val="32"/>
        </w:rPr>
      </w:pPr>
      <w:r>
        <w:rPr>
          <w:rFonts w:hint="eastAsia" w:ascii="仿宋" w:hAnsi="仿宋" w:eastAsia="仿宋" w:cs="仿宋"/>
          <w:sz w:val="32"/>
          <w:szCs w:val="32"/>
        </w:rPr>
        <w:t>锡林郭勒盟民政局综合保障中心 2023年度一般公共预算财政拨款项目支出决算 0.00万元，其中：</w:t>
      </w:r>
    </w:p>
    <w:p>
      <w:pPr>
        <w:widowControl/>
        <w:spacing w:before="240" w:after="240"/>
        <w:ind w:firstLine="506"/>
        <w:rPr>
          <w:rFonts w:ascii="fang_song_gb2312" w:hAnsi="fang_song_gb2312" w:eastAsia="fang_song_gb2312" w:cs="fang_song_gb2312"/>
          <w:b/>
          <w:bCs/>
          <w:kern w:val="0"/>
          <w:sz w:val="27"/>
          <w:szCs w:val="27"/>
        </w:rPr>
      </w:pPr>
      <w:r>
        <w:rPr>
          <w:rFonts w:hint="eastAsia" w:ascii="仿宋" w:hAnsi="仿宋" w:eastAsia="仿宋" w:cs="仿宋"/>
          <w:b/>
          <w:bCs/>
          <w:kern w:val="0"/>
          <w:sz w:val="32"/>
          <w:szCs w:val="32"/>
          <w:lang w:bidi="ar"/>
        </w:rPr>
        <w:t>（一）工资福利支出 0.00万元。</w:t>
      </w:r>
      <w:r>
        <w:rPr>
          <w:rFonts w:ascii="fang_song_gb2312" w:hAnsi="fang_song_gb2312" w:eastAsia="fang_song_gb2312" w:cs="fang_song_gb2312"/>
          <w:b/>
          <w:bCs/>
          <w:kern w:val="0"/>
          <w:sz w:val="27"/>
          <w:szCs w:val="27"/>
        </w:rPr>
        <w:t xml:space="preserve">    </w:t>
      </w:r>
    </w:p>
    <w:p>
      <w:pPr>
        <w:widowControl/>
        <w:spacing w:before="240" w:after="240"/>
        <w:ind w:firstLine="506"/>
        <w:rPr>
          <w:rFonts w:ascii="Times New Roman" w:hAnsi="Times New Roman" w:eastAsia="Times New Roman" w:cs="Times New Roman"/>
          <w:kern w:val="0"/>
          <w:sz w:val="24"/>
        </w:rPr>
      </w:pPr>
      <w:r>
        <w:rPr>
          <w:rFonts w:hint="eastAsia" w:ascii="仿宋" w:hAnsi="仿宋" w:eastAsia="仿宋" w:cs="仿宋"/>
          <w:b/>
          <w:bCs/>
          <w:kern w:val="0"/>
          <w:sz w:val="32"/>
          <w:szCs w:val="32"/>
          <w:lang w:bidi="ar"/>
        </w:rPr>
        <w:t>（二）商品和服务支出 0.00万元。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val="0"/>
          <w:bCs w:val="0"/>
          <w:kern w:val="0"/>
          <w:sz w:val="32"/>
          <w:szCs w:val="32"/>
          <w:lang w:bidi="ar"/>
        </w:rPr>
        <w:t>八、财政拨款“三公”经费支出决算情况说明</w:t>
      </w:r>
    </w:p>
    <w:p>
      <w:pPr>
        <w:widowControl/>
        <w:spacing w:before="240" w:after="240"/>
        <w:jc w:val="left"/>
        <w:rPr>
          <w:rFonts w:hint="eastAsia" w:ascii="仿宋" w:hAnsi="仿宋" w:eastAsia="仿宋" w:cs="仿宋"/>
          <w:b/>
          <w:bCs/>
          <w:kern w:val="0"/>
          <w:sz w:val="32"/>
          <w:szCs w:val="32"/>
          <w:lang w:bidi="ar"/>
        </w:rPr>
      </w:pPr>
      <w:r>
        <w:rPr>
          <w:rFonts w:ascii="kai_ti_gb2312" w:hAnsi="kai_ti_gb2312" w:eastAsia="kai_ti_gb2312" w:cs="kai_ti_gb2312"/>
          <w:b/>
          <w:bCs/>
          <w:kern w:val="0"/>
          <w:sz w:val="27"/>
          <w:szCs w:val="27"/>
        </w:rPr>
        <w:t>   </w:t>
      </w:r>
      <w:r>
        <w:rPr>
          <w:rFonts w:hint="eastAsia" w:ascii="仿宋" w:hAnsi="仿宋" w:eastAsia="仿宋" w:cs="仿宋"/>
          <w:b/>
          <w:bCs/>
          <w:kern w:val="0"/>
          <w:sz w:val="32"/>
          <w:szCs w:val="32"/>
          <w:lang w:bidi="ar"/>
        </w:rPr>
        <w:t xml:space="preserve"> （一）财政拨款“三公”经费支出总体情况说明。</w:t>
      </w:r>
    </w:p>
    <w:p>
      <w:pPr>
        <w:widowControl/>
        <w:spacing w:before="240" w:after="240"/>
        <w:rPr>
          <w:rFonts w:hint="eastAsia" w:ascii="仿宋" w:hAnsi="仿宋" w:eastAsia="仿宋" w:cs="仿宋"/>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rPr>
        <w:t>锡林郭勒盟民政局综合保障中心 2023年度财政拨款“三公”经费全年预算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0.00</w:t>
      </w:r>
      <w:r>
        <w:rPr>
          <w:rFonts w:hint="eastAsia" w:ascii="仿宋" w:hAnsi="仿宋" w:eastAsia="仿宋" w:cs="仿宋"/>
          <w:sz w:val="32"/>
          <w:szCs w:val="32"/>
        </w:rPr>
        <w:t>%。其中：因公出国（境）费全年预算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0.00</w:t>
      </w:r>
      <w:r>
        <w:rPr>
          <w:rFonts w:hint="eastAsia" w:ascii="仿宋" w:hAnsi="仿宋" w:eastAsia="仿宋" w:cs="仿宋"/>
          <w:sz w:val="32"/>
          <w:szCs w:val="32"/>
        </w:rPr>
        <w:t>%；公务用车购置及运行维护费全年预算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0.00</w:t>
      </w:r>
      <w:r>
        <w:rPr>
          <w:rFonts w:hint="eastAsia" w:ascii="仿宋" w:hAnsi="仿宋" w:eastAsia="仿宋" w:cs="仿宋"/>
          <w:sz w:val="32"/>
          <w:szCs w:val="32"/>
        </w:rPr>
        <w:t>%；公务接待费全年预算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0.00</w:t>
      </w:r>
      <w:r>
        <w:rPr>
          <w:rFonts w:hint="eastAsia" w:ascii="仿宋" w:hAnsi="仿宋" w:eastAsia="仿宋" w:cs="仿宋"/>
          <w:sz w:val="32"/>
          <w:szCs w:val="32"/>
        </w:rPr>
        <w:t>%。2023年度一般公共预算财政拨款“三公”经费支出决算与预算</w:t>
      </w:r>
      <w:r>
        <w:rPr>
          <w:rFonts w:hint="eastAsia" w:ascii="仿宋" w:hAnsi="仿宋" w:eastAsia="仿宋" w:cs="仿宋"/>
          <w:sz w:val="32"/>
          <w:szCs w:val="32"/>
          <w:lang w:val="en-US" w:eastAsia="zh-CN"/>
        </w:rPr>
        <w:t>无</w:t>
      </w:r>
      <w:r>
        <w:rPr>
          <w:rFonts w:hint="eastAsia" w:ascii="仿宋" w:hAnsi="仿宋" w:eastAsia="仿宋" w:cs="仿宋"/>
          <w:sz w:val="32"/>
          <w:szCs w:val="32"/>
        </w:rPr>
        <w:t>差异。</w:t>
      </w:r>
    </w:p>
    <w:p>
      <w:pPr>
        <w:widowControl/>
        <w:spacing w:before="240" w:after="240"/>
        <w:jc w:val="left"/>
        <w:rPr>
          <w:rFonts w:hint="eastAsia" w:ascii="仿宋" w:hAnsi="仿宋" w:eastAsia="仿宋" w:cs="仿宋"/>
          <w:b/>
          <w:bCs/>
          <w:kern w:val="0"/>
          <w:sz w:val="32"/>
          <w:szCs w:val="32"/>
          <w:lang w:bidi="ar"/>
        </w:rPr>
      </w:pPr>
      <w:r>
        <w:rPr>
          <w:rFonts w:ascii="kai_ti_gb2312" w:hAnsi="kai_ti_gb2312" w:eastAsia="kai_ti_gb2312" w:cs="kai_ti_gb2312"/>
          <w:b/>
          <w:bCs/>
          <w:kern w:val="0"/>
          <w:sz w:val="27"/>
          <w:szCs w:val="27"/>
        </w:rPr>
        <w:t> </w:t>
      </w:r>
      <w:r>
        <w:rPr>
          <w:rFonts w:hint="eastAsia" w:ascii="仿宋" w:hAnsi="仿宋" w:eastAsia="仿宋" w:cs="仿宋"/>
          <w:b/>
          <w:bCs/>
          <w:kern w:val="0"/>
          <w:sz w:val="32"/>
          <w:szCs w:val="32"/>
          <w:lang w:bidi="ar"/>
        </w:rPr>
        <w:t xml:space="preserve">   （二）财政拨款“三公”经费支出具体情况说明。</w:t>
      </w:r>
    </w:p>
    <w:p>
      <w:pPr>
        <w:widowControl/>
        <w:spacing w:before="240" w:after="240"/>
        <w:rPr>
          <w:rFonts w:hint="eastAsia" w:ascii="仿宋" w:hAnsi="仿宋" w:eastAsia="仿宋" w:cs="仿宋"/>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rPr>
        <w:t>锡林郭勒盟民政局综合保障中心 2023年度财政拨款“三公”经费支出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万元。因公出国（境）费支出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%；公务用车购置及运行维护费支出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0.00</w:t>
      </w:r>
      <w:r>
        <w:rPr>
          <w:rFonts w:hint="eastAsia" w:ascii="仿宋" w:hAnsi="仿宋" w:eastAsia="仿宋" w:cs="仿宋"/>
          <w:sz w:val="32"/>
          <w:szCs w:val="32"/>
        </w:rPr>
        <w:t>%。其中：</w:t>
      </w:r>
    </w:p>
    <w:p>
      <w:pPr>
        <w:widowControl/>
        <w:spacing w:before="240" w:after="240"/>
        <w:rPr>
          <w:rFonts w:hint="eastAsia" w:ascii="仿宋" w:hAnsi="仿宋" w:eastAsia="仿宋" w:cs="仿宋"/>
          <w:sz w:val="32"/>
          <w:szCs w:val="32"/>
        </w:rPr>
      </w:pPr>
      <w:r>
        <w:rPr>
          <w:rFonts w:hint="eastAsia" w:ascii="仿宋" w:hAnsi="仿宋" w:eastAsia="仿宋" w:cs="仿宋"/>
          <w:sz w:val="32"/>
          <w:szCs w:val="32"/>
        </w:rPr>
        <w:t>    1.因公出国（境）费支出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万元，全年出国（境）团组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人次。与上年决算相比，增加</w:t>
      </w:r>
      <w:r>
        <w:rPr>
          <w:rFonts w:hint="eastAsia" w:ascii="仿宋" w:hAnsi="仿宋" w:eastAsia="仿宋" w:cs="仿宋"/>
          <w:sz w:val="32"/>
          <w:szCs w:val="32"/>
          <w:lang w:val="en-US" w:eastAsia="zh-CN"/>
        </w:rPr>
        <w:t>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0.00</w:t>
      </w:r>
      <w:r>
        <w:rPr>
          <w:rFonts w:hint="eastAsia" w:ascii="仿宋" w:hAnsi="仿宋" w:eastAsia="仿宋" w:cs="仿宋"/>
          <w:sz w:val="32"/>
          <w:szCs w:val="32"/>
        </w:rPr>
        <w:t>%，变动原因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上年及本年均无因公出国（境）费支出。</w:t>
      </w:r>
    </w:p>
    <w:p>
      <w:pPr>
        <w:widowControl/>
        <w:spacing w:before="240" w:after="240"/>
        <w:rPr>
          <w:rFonts w:hint="eastAsia" w:ascii="仿宋" w:hAnsi="仿宋" w:eastAsia="仿宋" w:cs="仿宋"/>
          <w:sz w:val="32"/>
          <w:szCs w:val="32"/>
        </w:rPr>
      </w:pPr>
      <w:r>
        <w:rPr>
          <w:rFonts w:hint="eastAsia" w:ascii="仿宋" w:hAnsi="仿宋" w:eastAsia="仿宋" w:cs="仿宋"/>
          <w:sz w:val="32"/>
          <w:szCs w:val="32"/>
        </w:rPr>
        <w:t>    2.公务用车购置及运行维护费支出 0.00万元。其中：</w:t>
      </w:r>
    </w:p>
    <w:p>
      <w:pPr>
        <w:widowControl/>
        <w:spacing w:before="240" w:after="240"/>
        <w:ind w:firstLine="497"/>
        <w:rPr>
          <w:rFonts w:hint="eastAsia" w:ascii="仿宋" w:hAnsi="仿宋" w:eastAsia="仿宋" w:cs="仿宋"/>
          <w:sz w:val="32"/>
          <w:szCs w:val="32"/>
        </w:rPr>
      </w:pPr>
      <w:r>
        <w:rPr>
          <w:rFonts w:hint="eastAsia" w:ascii="仿宋" w:hAnsi="仿宋" w:eastAsia="仿宋" w:cs="仿宋"/>
          <w:sz w:val="32"/>
          <w:szCs w:val="32"/>
        </w:rPr>
        <w:t>（1）公务用车购置支出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万元。本年度使用财政拨款购置公务用车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。与上年决算相比，增加</w:t>
      </w:r>
      <w:r>
        <w:rPr>
          <w:rFonts w:hint="eastAsia" w:ascii="仿宋" w:hAnsi="仿宋" w:eastAsia="仿宋" w:cs="仿宋"/>
          <w:sz w:val="32"/>
          <w:szCs w:val="32"/>
          <w:lang w:val="en-US" w:eastAsia="zh-CN"/>
        </w:rPr>
        <w:t>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上年及本年均无公务用车购置支出。</w:t>
      </w:r>
    </w:p>
    <w:p>
      <w:pPr>
        <w:widowControl/>
        <w:spacing w:before="240" w:after="240"/>
        <w:ind w:firstLine="497"/>
        <w:rPr>
          <w:rFonts w:hint="eastAsia" w:ascii="仿宋" w:hAnsi="仿宋" w:eastAsia="仿宋" w:cs="仿宋"/>
          <w:sz w:val="32"/>
          <w:szCs w:val="32"/>
        </w:rPr>
      </w:pPr>
      <w:r>
        <w:rPr>
          <w:rFonts w:hint="eastAsia" w:ascii="仿宋" w:hAnsi="仿宋" w:eastAsia="仿宋" w:cs="仿宋"/>
          <w:sz w:val="32"/>
          <w:szCs w:val="32"/>
        </w:rPr>
        <w:t>（2）公务用车运行维护费支出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辆。与上年决算相比，增加</w:t>
      </w:r>
      <w:r>
        <w:rPr>
          <w:rFonts w:hint="eastAsia" w:ascii="仿宋" w:hAnsi="仿宋" w:eastAsia="仿宋" w:cs="仿宋"/>
          <w:sz w:val="32"/>
          <w:szCs w:val="32"/>
          <w:lang w:val="en-US" w:eastAsia="zh-CN"/>
        </w:rPr>
        <w:t>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上年及本年均无</w:t>
      </w:r>
      <w:r>
        <w:rPr>
          <w:rFonts w:hint="eastAsia" w:ascii="仿宋" w:hAnsi="仿宋" w:eastAsia="仿宋" w:cs="仿宋"/>
          <w:sz w:val="32"/>
          <w:szCs w:val="32"/>
        </w:rPr>
        <w:t>公务用车运行维护费支出。</w:t>
      </w:r>
    </w:p>
    <w:p>
      <w:pPr>
        <w:widowControl/>
        <w:spacing w:before="240" w:after="240"/>
        <w:rPr>
          <w:rFonts w:ascii="Times New Roman" w:hAnsi="Times New Roman" w:eastAsia="Times New Roman" w:cs="Times New Roman"/>
          <w:kern w:val="0"/>
          <w:sz w:val="24"/>
        </w:rPr>
      </w:pPr>
      <w:r>
        <w:rPr>
          <w:rFonts w:hint="eastAsia" w:ascii="仿宋" w:hAnsi="仿宋" w:eastAsia="仿宋" w:cs="仿宋"/>
          <w:sz w:val="32"/>
          <w:szCs w:val="32"/>
        </w:rPr>
        <w:t>    3.公务接待费支出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万元。其中：国内公务接待支出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万元，接待</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；国（境）外公务接待支出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万元，接待</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人次，开支内容：</w:t>
      </w:r>
      <w:r>
        <w:rPr>
          <w:rFonts w:hint="eastAsia" w:ascii="仿宋" w:hAnsi="仿宋" w:eastAsia="仿宋" w:cs="仿宋"/>
          <w:sz w:val="32"/>
          <w:szCs w:val="32"/>
          <w:lang w:val="en-US" w:eastAsia="zh-CN"/>
        </w:rPr>
        <w:t>无</w:t>
      </w:r>
      <w:r>
        <w:rPr>
          <w:rFonts w:hint="eastAsia" w:ascii="仿宋" w:hAnsi="仿宋" w:eastAsia="仿宋" w:cs="仿宋"/>
          <w:sz w:val="32"/>
          <w:szCs w:val="32"/>
        </w:rPr>
        <w:t>。与上年决算相比，增加</w:t>
      </w:r>
      <w:r>
        <w:rPr>
          <w:rFonts w:hint="eastAsia" w:ascii="仿宋" w:hAnsi="仿宋" w:eastAsia="仿宋" w:cs="仿宋"/>
          <w:sz w:val="32"/>
          <w:szCs w:val="32"/>
          <w:lang w:val="en-US" w:eastAsia="zh-CN"/>
        </w:rPr>
        <w:t>0.00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上年及本年均无</w:t>
      </w:r>
      <w:r>
        <w:rPr>
          <w:rFonts w:hint="eastAsia" w:ascii="仿宋" w:hAnsi="仿宋" w:eastAsia="仿宋" w:cs="仿宋"/>
          <w:sz w:val="32"/>
          <w:szCs w:val="32"/>
        </w:rPr>
        <w:t>公务接待费。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九、政府性基金预算财政拨款支出决算情况说明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仿宋" w:hAnsi="仿宋" w:eastAsia="仿宋" w:cs="仿宋"/>
          <w:sz w:val="32"/>
          <w:szCs w:val="32"/>
        </w:rPr>
      </w:pPr>
      <w:r>
        <w:rPr>
          <w:rFonts w:hint="eastAsia" w:ascii="仿宋" w:hAnsi="仿宋" w:eastAsia="仿宋" w:cs="仿宋"/>
          <w:sz w:val="32"/>
          <w:szCs w:val="32"/>
          <w:lang w:val="en-US"/>
        </w:rPr>
        <w:t>锡林郭勒盟民政局综合保障中心单位202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年度政府性基金支出决算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万元。与上年决算相比，增加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万元，增长</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val="en-US"/>
        </w:rPr>
        <w:t>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rPr>
        <w:t>%</w:t>
      </w:r>
      <w:r>
        <w:rPr>
          <w:rFonts w:hint="eastAsia" w:ascii="仿宋" w:hAnsi="仿宋" w:eastAsia="仿宋" w:cs="仿宋"/>
          <w:sz w:val="32"/>
          <w:szCs w:val="32"/>
        </w:rPr>
        <w:t>，变动原因：本</w:t>
      </w:r>
      <w:r>
        <w:rPr>
          <w:rFonts w:hint="eastAsia" w:ascii="仿宋" w:hAnsi="仿宋" w:eastAsia="仿宋" w:cs="仿宋"/>
          <w:sz w:val="32"/>
          <w:szCs w:val="32"/>
          <w:lang w:val="en-US"/>
        </w:rPr>
        <w:t>单位</w:t>
      </w:r>
      <w:r>
        <w:rPr>
          <w:rFonts w:hint="eastAsia" w:ascii="仿宋" w:hAnsi="仿宋" w:eastAsia="仿宋" w:cs="仿宋"/>
          <w:sz w:val="32"/>
          <w:szCs w:val="32"/>
        </w:rPr>
        <w:t>无政府性基金预算财政拨款收、支、余。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3"/>
        <w:jc w:val="both"/>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 xml:space="preserve"> 十、国有资本经营预算财政拨款支出决算情况说明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仿宋" w:hAnsi="仿宋" w:eastAsia="仿宋" w:cs="仿宋"/>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rPr>
        <w:t>锡林郭勒盟民政局综合保障中心 2023年度国有资本经营预算财政拨款支出决算</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万元。与上年决算相比，增加</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万元，增长</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%，变动原因：</w:t>
      </w:r>
      <w:r>
        <w:rPr>
          <w:rFonts w:hint="eastAsia" w:ascii="仿宋" w:hAnsi="仿宋" w:eastAsia="仿宋" w:cs="仿宋"/>
          <w:sz w:val="32"/>
          <w:szCs w:val="32"/>
        </w:rPr>
        <w:t>本</w:t>
      </w:r>
      <w:r>
        <w:rPr>
          <w:rFonts w:hint="eastAsia" w:ascii="仿宋" w:hAnsi="仿宋" w:eastAsia="仿宋" w:cs="仿宋"/>
          <w:sz w:val="32"/>
          <w:szCs w:val="32"/>
          <w:lang w:val="en-US"/>
        </w:rPr>
        <w:t>单位</w:t>
      </w:r>
      <w:r>
        <w:rPr>
          <w:rFonts w:hint="eastAsia" w:ascii="仿宋" w:hAnsi="仿宋" w:eastAsia="仿宋" w:cs="仿宋"/>
          <w:sz w:val="32"/>
          <w:szCs w:val="32"/>
        </w:rPr>
        <w:t>无国有资本经营预算财政拨款收、支、余。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640"/>
        <w:jc w:val="both"/>
        <w:textAlignment w:val="auto"/>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rPr>
        <w:t>锡林郭勒盟民政局综合保障中心 2023年度机构运行经费支出决算 2.85万元。比上年决算相比，增加0.36万元，增长14.64%，变动原因：</w:t>
      </w:r>
      <w:r>
        <w:rPr>
          <w:rFonts w:hint="eastAsia" w:ascii="仿宋" w:hAnsi="仿宋" w:eastAsia="仿宋" w:cs="仿宋"/>
          <w:sz w:val="32"/>
          <w:szCs w:val="32"/>
          <w:lang w:val="en-US" w:eastAsia="zh-CN"/>
        </w:rPr>
        <w:t>人员增加</w:t>
      </w:r>
      <w:r>
        <w:rPr>
          <w:rFonts w:hint="eastAsia" w:ascii="仿宋" w:hAnsi="仿宋" w:eastAsia="仿宋" w:cs="仿宋"/>
          <w:sz w:val="32"/>
          <w:szCs w:val="32"/>
          <w:lang w:val="en-US"/>
        </w:rPr>
        <w:t>。</w:t>
      </w:r>
    </w:p>
    <w:p>
      <w:pPr>
        <w:widowControl/>
        <w:spacing w:before="240" w:after="240"/>
        <w:jc w:val="left"/>
        <w:rPr>
          <w:rFonts w:hint="eastAsia" w:ascii="黑体" w:hAnsi="黑体" w:eastAsia="黑体" w:cs="黑体"/>
          <w:b w:val="0"/>
          <w:bCs w:val="0"/>
          <w:kern w:val="0"/>
          <w:sz w:val="32"/>
          <w:szCs w:val="32"/>
          <w:lang w:bidi="ar"/>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黑体" w:hAnsi="黑体" w:eastAsia="黑体" w:cs="黑体"/>
          <w:b/>
          <w:bCs/>
          <w:kern w:val="0"/>
          <w:sz w:val="27"/>
          <w:szCs w:val="27"/>
          <w:lang w:val="en-US" w:eastAsia="zh-CN"/>
        </w:rPr>
        <w:t xml:space="preserve">  </w:t>
      </w:r>
      <w:r>
        <w:rPr>
          <w:rFonts w:hint="eastAsia" w:ascii="黑体" w:hAnsi="黑体" w:eastAsia="黑体" w:cs="黑体"/>
          <w:b w:val="0"/>
          <w:bCs w:val="0"/>
          <w:kern w:val="0"/>
          <w:sz w:val="32"/>
          <w:szCs w:val="32"/>
          <w:lang w:bidi="ar"/>
        </w:rPr>
        <w:t>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rPr>
        <w:t>锡林郭勒盟民政局综合保障中心2023年度政府采购支出总额</w:t>
      </w:r>
      <w:r>
        <w:rPr>
          <w:rFonts w:hint="eastAsia" w:ascii="仿宋" w:hAnsi="仿宋" w:eastAsia="仿宋" w:cs="仿宋"/>
          <w:sz w:val="32"/>
          <w:szCs w:val="32"/>
          <w:lang w:val="en-US" w:eastAsia="zh-CN"/>
        </w:rPr>
        <w:t>0.26</w:t>
      </w:r>
      <w:r>
        <w:rPr>
          <w:rFonts w:hint="eastAsia" w:ascii="仿宋" w:hAnsi="仿宋" w:eastAsia="仿宋" w:cs="仿宋"/>
          <w:sz w:val="32"/>
          <w:szCs w:val="32"/>
          <w:lang w:val="en-US"/>
        </w:rPr>
        <w:t>万元，其中：政府采购货物支出</w:t>
      </w:r>
      <w:r>
        <w:rPr>
          <w:rFonts w:hint="eastAsia" w:ascii="仿宋" w:hAnsi="仿宋" w:eastAsia="仿宋" w:cs="仿宋"/>
          <w:sz w:val="32"/>
          <w:szCs w:val="32"/>
          <w:lang w:val="en-US" w:eastAsia="zh-CN"/>
        </w:rPr>
        <w:t>0.26</w:t>
      </w:r>
      <w:r>
        <w:rPr>
          <w:rFonts w:hint="eastAsia" w:ascii="仿宋" w:hAnsi="仿宋" w:eastAsia="仿宋" w:cs="仿宋"/>
          <w:sz w:val="32"/>
          <w:szCs w:val="32"/>
          <w:lang w:val="en-US"/>
        </w:rPr>
        <w:t>万元、政府采购工程支出</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万元、政府采购服务支出</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 xml:space="preserve">万元。政府采购授予中小企业合同金额 </w:t>
      </w:r>
      <w:r>
        <w:rPr>
          <w:rFonts w:hint="eastAsia" w:ascii="仿宋" w:hAnsi="仿宋" w:eastAsia="仿宋" w:cs="仿宋"/>
          <w:sz w:val="32"/>
          <w:szCs w:val="32"/>
          <w:lang w:val="en-US" w:eastAsia="zh-CN"/>
        </w:rPr>
        <w:t>0.26</w:t>
      </w:r>
      <w:r>
        <w:rPr>
          <w:rFonts w:hint="eastAsia" w:ascii="仿宋" w:hAnsi="仿宋" w:eastAsia="仿宋" w:cs="仿宋"/>
          <w:sz w:val="32"/>
          <w:szCs w:val="32"/>
          <w:lang w:val="en-US"/>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%，其中：授予小微企业合同金额</w:t>
      </w:r>
      <w:r>
        <w:rPr>
          <w:rFonts w:hint="eastAsia" w:ascii="仿宋" w:hAnsi="仿宋" w:eastAsia="仿宋" w:cs="仿宋"/>
          <w:sz w:val="32"/>
          <w:szCs w:val="32"/>
          <w:lang w:val="en-US" w:eastAsia="zh-CN"/>
        </w:rPr>
        <w:t>0.26</w:t>
      </w:r>
      <w:r>
        <w:rPr>
          <w:rFonts w:hint="eastAsia" w:ascii="仿宋" w:hAnsi="仿宋" w:eastAsia="仿宋" w:cs="仿宋"/>
          <w:sz w:val="32"/>
          <w:szCs w:val="32"/>
          <w:lang w:val="en-US"/>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%；货物采购授予中小企业合同金额占货物支出金额的</w:t>
      </w:r>
      <w:r>
        <w:rPr>
          <w:rFonts w:hint="eastAsia" w:ascii="仿宋" w:hAnsi="仿宋" w:eastAsia="仿宋" w:cs="仿宋"/>
          <w:sz w:val="32"/>
          <w:szCs w:val="32"/>
          <w:lang w:val="en-US" w:eastAsia="zh-CN"/>
        </w:rPr>
        <w:t>100</w:t>
      </w:r>
      <w:r>
        <w:rPr>
          <w:rFonts w:hint="eastAsia" w:ascii="仿宋" w:hAnsi="仿宋" w:eastAsia="仿宋" w:cs="仿宋"/>
          <w:sz w:val="32"/>
          <w:szCs w:val="32"/>
          <w:lang w:val="en-US"/>
        </w:rPr>
        <w:t>%，工程采购授予中小企业合同金额占工程支出金额的</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%，服务采购授予中小企业合同金额占服务支出金额的</w:t>
      </w:r>
      <w:r>
        <w:rPr>
          <w:rFonts w:hint="eastAsia" w:ascii="仿宋" w:hAnsi="仿宋" w:eastAsia="仿宋" w:cs="仿宋"/>
          <w:sz w:val="32"/>
          <w:szCs w:val="32"/>
          <w:lang w:val="en-US" w:eastAsia="zh-CN"/>
        </w:rPr>
        <w:t>0.00</w:t>
      </w:r>
      <w:r>
        <w:rPr>
          <w:rFonts w:hint="eastAsia" w:ascii="仿宋" w:hAnsi="仿宋" w:eastAsia="仿宋" w:cs="仿宋"/>
          <w:sz w:val="32"/>
          <w:szCs w:val="32"/>
          <w:lang w:val="en-US"/>
        </w:rPr>
        <w:t>%。</w:t>
      </w:r>
    </w:p>
    <w:p>
      <w:pPr>
        <w:widowControl/>
        <w:spacing w:before="240" w:after="240"/>
        <w:jc w:val="left"/>
        <w:rPr>
          <w:rFonts w:hint="eastAsia" w:ascii="黑体" w:hAnsi="黑体" w:eastAsia="黑体" w:cs="黑体"/>
          <w:b w:val="0"/>
          <w:bCs w:val="0"/>
          <w:kern w:val="0"/>
          <w:sz w:val="32"/>
          <w:szCs w:val="32"/>
          <w:lang w:bidi="ar"/>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lang w:bidi="ar"/>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rPr>
        <w:t>锡林郭勒盟民政局综合保障中心 截至2023年12月31日，本部门（单位）共有车辆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辆，其中：副部（省）级及以上领导用车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辆、主要负责人用车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辆、离退休干部服务用车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辆；单价100万元（含）以上的设备（不含车辆）</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台（套）。</w:t>
      </w:r>
    </w:p>
    <w:p>
      <w:pPr>
        <w:widowControl/>
        <w:spacing w:before="240" w:after="240"/>
        <w:jc w:val="left"/>
        <w:rPr>
          <w:rFonts w:hint="eastAsia" w:ascii="黑体" w:hAnsi="黑体" w:eastAsia="黑体" w:cs="黑体"/>
          <w:b w:val="0"/>
          <w:bCs w:val="0"/>
          <w:kern w:val="0"/>
          <w:sz w:val="32"/>
          <w:szCs w:val="32"/>
          <w:lang w:bidi="ar"/>
        </w:rPr>
      </w:pPr>
      <w:r>
        <w:rPr>
          <w:rFonts w:ascii="Calibri" w:hAnsi="Calibri" w:eastAsia="Calibri" w:cs="Calibri"/>
          <w:b/>
          <w:bCs/>
          <w:kern w:val="0"/>
          <w:sz w:val="27"/>
          <w:szCs w:val="27"/>
        </w:rPr>
        <w:t> </w:t>
      </w:r>
      <w:r>
        <w:rPr>
          <w:rFonts w:hint="eastAsia" w:ascii="黑体" w:hAnsi="黑体" w:eastAsia="黑体" w:cs="黑体"/>
          <w:b w:val="0"/>
          <w:bCs w:val="0"/>
          <w:kern w:val="0"/>
          <w:sz w:val="32"/>
          <w:szCs w:val="32"/>
          <w:lang w:bidi="ar"/>
        </w:rPr>
        <w:t xml:space="preserve">   十四、预算绩效情况说明</w:t>
      </w:r>
    </w:p>
    <w:p>
      <w:pPr>
        <w:widowControl/>
        <w:spacing w:before="240" w:after="240"/>
        <w:jc w:val="left"/>
        <w:rPr>
          <w:rFonts w:hint="eastAsia" w:ascii="楷体" w:hAnsi="楷体" w:eastAsia="楷体" w:cs="楷体"/>
          <w:b/>
          <w:bCs/>
          <w:kern w:val="0"/>
          <w:sz w:val="32"/>
          <w:szCs w:val="32"/>
          <w:lang w:bidi="ar"/>
        </w:rPr>
      </w:pPr>
      <w:r>
        <w:rPr>
          <w:rFonts w:ascii="kai_ti_gb2312" w:hAnsi="kai_ti_gb2312" w:eastAsia="kai_ti_gb2312" w:cs="kai_ti_gb2312"/>
          <w:b/>
          <w:bCs/>
          <w:kern w:val="0"/>
          <w:sz w:val="27"/>
          <w:szCs w:val="27"/>
        </w:rPr>
        <w:t xml:space="preserve">    </w:t>
      </w:r>
      <w:r>
        <w:rPr>
          <w:rFonts w:hint="eastAsia" w:ascii="楷体" w:hAnsi="楷体" w:eastAsia="楷体" w:cs="楷体"/>
          <w:b/>
          <w:bCs/>
          <w:kern w:val="0"/>
          <w:sz w:val="32"/>
          <w:szCs w:val="32"/>
          <w:lang w:bidi="ar"/>
        </w:rPr>
        <w:t>（一）预算绩效管理工作开展情况。</w:t>
      </w:r>
    </w:p>
    <w:p>
      <w:pPr>
        <w:widowControl/>
        <w:spacing w:before="240" w:after="240"/>
        <w:rPr>
          <w:rFonts w:hint="eastAsia" w:ascii="仿宋" w:hAnsi="仿宋" w:eastAsia="仿宋" w:cs="仿宋"/>
          <w:sz w:val="32"/>
          <w:szCs w:val="32"/>
          <w:lang w:val="en-US" w:eastAsia="zh-CN"/>
        </w:rPr>
      </w:pPr>
      <w:r>
        <w:rPr>
          <w:rFonts w:ascii="fang_song_gb2312" w:hAnsi="fang_song_gb2312" w:eastAsia="fang_song_gb2312" w:cs="fang_song_gb2312"/>
          <w:kern w:val="0"/>
          <w:sz w:val="27"/>
          <w:szCs w:val="27"/>
        </w:rPr>
        <w:t xml:space="preserve">    </w:t>
      </w:r>
      <w:r>
        <w:rPr>
          <w:rFonts w:hint="eastAsia" w:ascii="仿宋" w:hAnsi="仿宋" w:eastAsia="仿宋" w:cs="仿宋"/>
          <w:sz w:val="32"/>
          <w:szCs w:val="32"/>
          <w:lang w:val="en-US"/>
        </w:rPr>
        <w:t>锡林郭勒盟民政局综合保障中心根据预算绩效管理要求组织对2023年一般公共预算项目支出全面开展绩效自评，其中一级项目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个，二级项目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个，共涉及资金</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万元，占一般公共预算项目支出总额的100%；政府性基金预算项目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个，其中，一级项目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个，二级项目</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个，共涉及资金</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万元，占应纳入绩效自评的政府性基金预算项目支出总额的100%</w:t>
      </w:r>
      <w:r>
        <w:rPr>
          <w:rFonts w:hint="eastAsia" w:ascii="仿宋" w:hAnsi="仿宋" w:eastAsia="仿宋" w:cs="仿宋"/>
          <w:sz w:val="32"/>
          <w:szCs w:val="32"/>
          <w:lang w:val="en-US" w:eastAsia="zh-CN"/>
        </w:rPr>
        <w:t>。</w:t>
      </w:r>
    </w:p>
    <w:p>
      <w:pPr>
        <w:widowControl/>
        <w:spacing w:before="240" w:after="240"/>
        <w:jc w:val="left"/>
        <w:rPr>
          <w:rFonts w:hint="eastAsia" w:ascii="楷体" w:hAnsi="楷体" w:eastAsia="楷体" w:cs="楷体"/>
          <w:b/>
          <w:bCs/>
          <w:kern w:val="0"/>
          <w:sz w:val="32"/>
          <w:szCs w:val="32"/>
          <w:lang w:bidi="ar"/>
        </w:rPr>
      </w:pPr>
      <w:r>
        <w:rPr>
          <w:rFonts w:ascii="kai_ti_gb2312" w:hAnsi="kai_ti_gb2312" w:eastAsia="kai_ti_gb2312" w:cs="kai_ti_gb2312"/>
          <w:b/>
          <w:bCs/>
          <w:kern w:val="0"/>
          <w:sz w:val="27"/>
          <w:szCs w:val="27"/>
        </w:rPr>
        <w:t xml:space="preserve">    </w:t>
      </w:r>
      <w:r>
        <w:rPr>
          <w:rFonts w:hint="eastAsia" w:ascii="楷体" w:hAnsi="楷体" w:eastAsia="楷体" w:cs="楷体"/>
          <w:b/>
          <w:bCs/>
          <w:kern w:val="0"/>
          <w:sz w:val="32"/>
          <w:szCs w:val="32"/>
          <w:lang w:bidi="ar"/>
        </w:rPr>
        <w:t>（二）部门（单位）决算中项目绩效自评结果。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 w:hAnsi="仿宋" w:eastAsia="仿宋" w:cs="仿宋"/>
          <w:sz w:val="32"/>
          <w:szCs w:val="32"/>
          <w:lang w:val="en-US"/>
        </w:rPr>
        <w:t>锡林郭勒盟民政局综合保障中心单位202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年度在决算中反映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w:t>
      </w:r>
      <w:r>
        <w:rPr>
          <w:rFonts w:hint="eastAsia" w:ascii="仿宋" w:hAnsi="仿宋" w:eastAsia="仿宋" w:cs="仿宋"/>
          <w:sz w:val="32"/>
          <w:szCs w:val="32"/>
        </w:rPr>
        <w:t>个一般公共预算项目，以及</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个政府性基金项目，共</w:t>
      </w:r>
      <w:r>
        <w:rPr>
          <w:rFonts w:hint="eastAsia" w:ascii="仿宋" w:hAnsi="仿宋" w:eastAsia="仿宋" w:cs="仿宋"/>
          <w:sz w:val="32"/>
          <w:szCs w:val="32"/>
          <w:u w:val="single"/>
          <w:lang w:val="en-US"/>
        </w:rPr>
        <w:t> </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single"/>
          <w:lang w:val="en-US"/>
        </w:rPr>
        <w:t xml:space="preserve"> </w:t>
      </w:r>
      <w:r>
        <w:rPr>
          <w:rFonts w:hint="eastAsia" w:ascii="仿宋" w:hAnsi="仿宋" w:eastAsia="仿宋" w:cs="仿宋"/>
          <w:sz w:val="32"/>
          <w:szCs w:val="32"/>
        </w:rPr>
        <w:t>个项目的绩效自评结果。</w:t>
      </w:r>
    </w:p>
    <w:p>
      <w:pPr>
        <w:widowControl/>
        <w:spacing w:before="240" w:after="240"/>
        <w:ind w:firstLine="643" w:firstLineChars="200"/>
        <w:jc w:val="left"/>
        <w:rPr>
          <w:rFonts w:hint="eastAsia" w:ascii="楷体" w:hAnsi="楷体" w:eastAsia="楷体" w:cs="楷体"/>
          <w:b/>
          <w:bCs/>
          <w:kern w:val="0"/>
          <w:sz w:val="32"/>
          <w:szCs w:val="32"/>
          <w:lang w:bidi="ar"/>
        </w:rPr>
      </w:pPr>
      <w:r>
        <w:rPr>
          <w:rFonts w:hint="eastAsia" w:ascii="楷体" w:hAnsi="楷体" w:eastAsia="楷体" w:cs="楷体"/>
          <w:b/>
          <w:bCs/>
          <w:kern w:val="0"/>
          <w:sz w:val="32"/>
          <w:szCs w:val="32"/>
          <w:lang w:bidi="ar"/>
        </w:rPr>
        <w:t>（三）部门（单位）项目绩效评价结果。</w:t>
      </w:r>
    </w:p>
    <w:p>
      <w:pPr>
        <w:widowControl/>
        <w:spacing w:before="240" w:after="240"/>
        <w:ind w:firstLine="481"/>
        <w:jc w:val="left"/>
        <w:rPr>
          <w:rFonts w:hint="eastAsia" w:ascii="仿宋" w:hAnsi="仿宋" w:eastAsia="仿宋" w:cs="仿宋"/>
          <w:sz w:val="32"/>
          <w:szCs w:val="32"/>
        </w:rPr>
      </w:pPr>
      <w:r>
        <w:rPr>
          <w:rFonts w:hint="eastAsia" w:ascii="仿宋" w:hAnsi="仿宋" w:eastAsia="仿宋" w:cs="仿宋"/>
          <w:sz w:val="32"/>
          <w:szCs w:val="32"/>
          <w:lang w:val="en-US" w:eastAsia="zh-CN"/>
        </w:rPr>
        <w:t>我单位2023年度无预算项目，无项目绩效评价结果。</w:t>
      </w:r>
      <w:r>
        <w:rPr>
          <w:rFonts w:hint="eastAsia" w:ascii="仿宋" w:hAnsi="仿宋" w:eastAsia="仿宋" w:cs="仿宋"/>
          <w:sz w:val="32"/>
          <w:szCs w:val="32"/>
          <w:lang w:val="en-US"/>
        </w:rPr>
        <w:t> </w:t>
      </w:r>
    </w:p>
    <w:p>
      <w:pPr>
        <w:widowControl/>
        <w:spacing w:before="240" w:after="240"/>
        <w:jc w:val="left"/>
        <w:rPr>
          <w:rFonts w:ascii="Times New Roman" w:hAnsi="Times New Roman" w:eastAsia="Times New Roman" w:cs="Times New Roman"/>
          <w:kern w:val="0"/>
          <w:sz w:val="24"/>
        </w:rPr>
      </w:pPr>
    </w:p>
    <w:p>
      <w:pPr>
        <w:widowControl/>
        <w:numPr>
          <w:ilvl w:val="0"/>
          <w:numId w:val="1"/>
        </w:numPr>
        <w:spacing w:before="240" w:after="240"/>
        <w:jc w:val="center"/>
        <w:rPr>
          <w:rFonts w:hint="eastAsia" w:ascii="方正小标宋简体" w:hAnsi="方正小标宋简体" w:eastAsia="方正小标宋简体" w:cs="方正小标宋简体"/>
          <w:b/>
          <w:bCs/>
          <w:kern w:val="0"/>
          <w:sz w:val="36"/>
          <w:szCs w:val="36"/>
          <w:lang w:val="en-US" w:eastAsia="zh-CN" w:bidi="ar"/>
        </w:rPr>
      </w:pPr>
      <w:r>
        <w:rPr>
          <w:rFonts w:hint="eastAsia" w:ascii="方正小标宋简体" w:hAnsi="方正小标宋简体" w:eastAsia="方正小标宋简体" w:cs="方正小标宋简体"/>
          <w:b/>
          <w:bCs/>
          <w:kern w:val="0"/>
          <w:sz w:val="36"/>
          <w:szCs w:val="36"/>
          <w:lang w:val="en-US" w:eastAsia="zh-CN" w:bidi="ar"/>
        </w:rPr>
        <w:t> 名词解释</w:t>
      </w:r>
    </w:p>
    <w:p>
      <w:pPr>
        <w:pStyle w:val="2"/>
        <w:numPr>
          <w:ilvl w:val="0"/>
          <w:numId w:val="0"/>
        </w:numPr>
        <w:rPr>
          <w:rFonts w:hint="eastAsia"/>
          <w:lang w:val="en-US" w:eastAsia="zh-CN"/>
        </w:rPr>
      </w:pP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lang w:bidi="ar"/>
        </w:rPr>
        <w:t>一、财政拨款收入：</w:t>
      </w:r>
      <w:r>
        <w:rPr>
          <w:rFonts w:hint="eastAsia" w:ascii="仿宋" w:hAnsi="仿宋" w:eastAsia="仿宋" w:cs="仿宋"/>
          <w:kern w:val="0"/>
          <w:sz w:val="32"/>
          <w:szCs w:val="32"/>
          <w:lang w:bidi="ar"/>
        </w:rPr>
        <w:t>从同级财政部门取得的各类财政拨款，包括一般公共预算财政拨款、政府性基金预算财政拨款、国有资本经营预算财政拨款。</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二、上级补助收入：</w:t>
      </w:r>
      <w:r>
        <w:rPr>
          <w:rFonts w:hint="eastAsia" w:ascii="仿宋" w:hAnsi="仿宋" w:eastAsia="仿宋" w:cs="仿宋"/>
          <w:kern w:val="0"/>
          <w:sz w:val="32"/>
          <w:szCs w:val="32"/>
          <w:lang w:bidi="ar"/>
        </w:rPr>
        <w:t>指事业单位从主管部门和上级单位取得的非财政补助收入。</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lang w:bidi="ar"/>
        </w:rPr>
        <w:t>三、财政专户管理教育收费：</w:t>
      </w:r>
      <w:r>
        <w:rPr>
          <w:rFonts w:hint="eastAsia" w:ascii="仿宋" w:hAnsi="仿宋" w:eastAsia="仿宋" w:cs="仿宋"/>
          <w:kern w:val="0"/>
          <w:sz w:val="32"/>
          <w:szCs w:val="32"/>
          <w:lang w:bidi="ar"/>
        </w:rPr>
        <w:t>指缴入财政专户、实行专项管理的高中以上学费、住宿费、高校委托培养费、函大、电大、夜大及短训班培训费等教育收费。</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lang w:bidi="ar"/>
        </w:rPr>
        <w:t>  四、事业收入：</w:t>
      </w:r>
      <w:r>
        <w:rPr>
          <w:rFonts w:hint="eastAsia" w:ascii="仿宋" w:hAnsi="仿宋" w:eastAsia="仿宋" w:cs="仿宋"/>
          <w:kern w:val="0"/>
          <w:sz w:val="32"/>
          <w:szCs w:val="32"/>
          <w:lang w:bidi="ar"/>
        </w:rPr>
        <w:t>指事业单位开展专业业务活动及其辅助活动取得的收入。</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五、经营收入：</w:t>
      </w:r>
      <w:r>
        <w:rPr>
          <w:rFonts w:hint="eastAsia" w:ascii="仿宋" w:hAnsi="仿宋" w:eastAsia="仿宋" w:cs="仿宋"/>
          <w:kern w:val="0"/>
          <w:sz w:val="32"/>
          <w:szCs w:val="32"/>
          <w:lang w:bidi="ar"/>
        </w:rPr>
        <w:t>指事业单位在专业业务活动及其辅助活动之外开展非独立核算经营活动取得的收入。</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六、附属单位上缴收入：</w:t>
      </w:r>
      <w:r>
        <w:rPr>
          <w:rFonts w:hint="eastAsia" w:ascii="仿宋" w:hAnsi="仿宋" w:eastAsia="仿宋" w:cs="仿宋"/>
          <w:kern w:val="0"/>
          <w:sz w:val="32"/>
          <w:szCs w:val="32"/>
          <w:lang w:bidi="ar"/>
        </w:rPr>
        <w:t>指事业单位取得附属独立核算单位按照有关规定上缴的收入。</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七、其他收入：</w:t>
      </w:r>
      <w:r>
        <w:rPr>
          <w:rFonts w:hint="eastAsia" w:ascii="仿宋" w:hAnsi="仿宋" w:eastAsia="仿宋" w:cs="仿宋"/>
          <w:kern w:val="0"/>
          <w:sz w:val="32"/>
          <w:szCs w:val="32"/>
          <w:lang w:bidi="ar"/>
        </w:rPr>
        <w:t>取得的除上述“财政拨款收入”、“上级补助收入”、“事业收入”、“经营收入”、“附属单位上缴收入”等以外的各项收入。</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八、使用非财政拨款结余和专用结余：</w:t>
      </w:r>
      <w:r>
        <w:rPr>
          <w:rFonts w:hint="eastAsia" w:ascii="仿宋" w:hAnsi="仿宋" w:eastAsia="仿宋" w:cs="仿宋"/>
          <w:kern w:val="0"/>
          <w:sz w:val="32"/>
          <w:szCs w:val="32"/>
          <w:lang w:bidi="ar"/>
        </w:rPr>
        <w:t>指事业单位按照预算管理要求使用非财政拨款结余和专用结余弥补当年收支差额的数额。</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lang w:bidi="ar"/>
        </w:rPr>
        <w:t>  九、年初结转和结余：</w:t>
      </w:r>
      <w:r>
        <w:rPr>
          <w:rFonts w:hint="eastAsia" w:ascii="仿宋" w:hAnsi="仿宋" w:eastAsia="仿宋" w:cs="仿宋"/>
          <w:kern w:val="0"/>
          <w:sz w:val="32"/>
          <w:szCs w:val="32"/>
          <w:lang w:bidi="ar"/>
        </w:rPr>
        <w:t>指单位上年结转本年使用的基本支出结转、项目支出结转和结余、经营结余。</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十、结余分配：</w:t>
      </w:r>
      <w:r>
        <w:rPr>
          <w:rFonts w:hint="eastAsia" w:ascii="仿宋" w:hAnsi="仿宋" w:eastAsia="仿宋" w:cs="仿宋"/>
          <w:kern w:val="0"/>
          <w:sz w:val="32"/>
          <w:szCs w:val="32"/>
          <w:lang w:bidi="ar"/>
        </w:rPr>
        <w:t>指事业单位按规定缴纳企业所得税以及从非财政拨款结余或经营结余中提取各类结余的情况。</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十一、年末结转和结余资金：</w:t>
      </w:r>
      <w:r>
        <w:rPr>
          <w:rFonts w:hint="eastAsia" w:ascii="仿宋" w:hAnsi="仿宋" w:eastAsia="仿宋" w:cs="仿宋"/>
          <w:kern w:val="0"/>
          <w:sz w:val="32"/>
          <w:szCs w:val="32"/>
          <w:lang w:bidi="ar"/>
        </w:rPr>
        <w:t>指单位结转下年的基本支出结转、项目支出结转和结余、经营结余。</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十二、基本支出：</w:t>
      </w:r>
      <w:r>
        <w:rPr>
          <w:rFonts w:hint="eastAsia" w:ascii="仿宋" w:hAnsi="仿宋" w:eastAsia="仿宋" w:cs="仿宋"/>
          <w:kern w:val="0"/>
          <w:sz w:val="32"/>
          <w:szCs w:val="32"/>
          <w:lang w:bidi="ar"/>
        </w:rPr>
        <w:t>指为保障机构正常运转、完成日常工作任务所发生的支出，包括人员经费和公用经费。</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十三、项目支出：</w:t>
      </w:r>
      <w:r>
        <w:rPr>
          <w:rFonts w:hint="eastAsia" w:ascii="仿宋" w:hAnsi="仿宋" w:eastAsia="仿宋" w:cs="仿宋"/>
          <w:kern w:val="0"/>
          <w:sz w:val="32"/>
          <w:szCs w:val="32"/>
          <w:lang w:bidi="ar"/>
        </w:rPr>
        <w:t>指在为完成特定的工作任务和事业发展目标所发生的支出。</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xml:space="preserve">  </w:t>
      </w:r>
      <w:r>
        <w:rPr>
          <w:rFonts w:hint="eastAsia" w:ascii="仿宋" w:hAnsi="仿宋" w:eastAsia="仿宋" w:cs="仿宋"/>
          <w:b/>
          <w:bCs/>
          <w:kern w:val="0"/>
          <w:sz w:val="32"/>
          <w:szCs w:val="32"/>
          <w:lang w:bidi="ar"/>
        </w:rPr>
        <w:t>  十四、上缴上级支出：</w:t>
      </w:r>
      <w:r>
        <w:rPr>
          <w:rFonts w:hint="eastAsia" w:ascii="仿宋" w:hAnsi="仿宋" w:eastAsia="仿宋" w:cs="仿宋"/>
          <w:kern w:val="0"/>
          <w:sz w:val="32"/>
          <w:szCs w:val="32"/>
          <w:lang w:bidi="ar"/>
        </w:rPr>
        <w:t>指事业单位按照财政部门和主管部门的规定上缴上级单位的支出。</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十五、经营支出：</w:t>
      </w:r>
      <w:r>
        <w:rPr>
          <w:rFonts w:hint="eastAsia" w:ascii="仿宋" w:hAnsi="仿宋" w:eastAsia="仿宋" w:cs="仿宋"/>
          <w:kern w:val="0"/>
          <w:sz w:val="32"/>
          <w:szCs w:val="32"/>
          <w:lang w:bidi="ar"/>
        </w:rPr>
        <w:t>指事业单位在专业业务活动及其辅助活动之外开展非独立核算经营活动发生的支出。</w:t>
      </w: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十六、对附属单位补助支出：</w:t>
      </w:r>
      <w:r>
        <w:rPr>
          <w:rFonts w:hint="eastAsia" w:ascii="仿宋" w:hAnsi="仿宋" w:eastAsia="仿宋" w:cs="仿宋"/>
          <w:kern w:val="0"/>
          <w:sz w:val="32"/>
          <w:szCs w:val="32"/>
          <w:lang w:bidi="ar"/>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hint="eastAsia" w:ascii="仿宋" w:hAnsi="仿宋" w:eastAsia="仿宋" w:cs="仿宋"/>
          <w:b/>
          <w:bCs/>
          <w:kern w:val="0"/>
          <w:sz w:val="32"/>
          <w:szCs w:val="32"/>
          <w:lang w:bidi="ar"/>
        </w:rPr>
        <w:t>    十七、“三公”经费：</w:t>
      </w:r>
      <w:r>
        <w:rPr>
          <w:rFonts w:hint="eastAsia" w:ascii="仿宋" w:hAnsi="仿宋" w:eastAsia="仿宋" w:cs="仿宋"/>
          <w:kern w:val="0"/>
          <w:sz w:val="32"/>
          <w:szCs w:val="32"/>
          <w:lang w:bidi="ar"/>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lang w:bidi="ar"/>
        </w:rPr>
        <w:t xml:space="preserve">   十八、机构运行经费：</w:t>
      </w:r>
      <w:r>
        <w:rPr>
          <w:rFonts w:hint="eastAsia" w:ascii="仿宋" w:hAnsi="仿宋" w:eastAsia="仿宋" w:cs="仿宋"/>
          <w:kern w:val="0"/>
          <w:sz w:val="32"/>
          <w:szCs w:val="32"/>
          <w:lang w:bidi="ar"/>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pPr>
        <w:widowControl/>
        <w:spacing w:before="240" w:after="240"/>
        <w:jc w:val="left"/>
        <w:rPr>
          <w:rFonts w:ascii="Times New Roman" w:hAnsi="Times New Roman" w:eastAsia="Times New Roman" w:cs="Times New Roman"/>
          <w:kern w:val="0"/>
          <w:sz w:val="24"/>
        </w:rPr>
      </w:pPr>
    </w:p>
    <w:p>
      <w:pPr>
        <w:pStyle w:val="5"/>
        <w:keepNext/>
        <w:keepLines w:val="0"/>
        <w:widowControl/>
        <w:suppressLineNumbers w:val="0"/>
        <w:spacing w:before="0" w:beforeAutospacing="1" w:after="0" w:afterAutospacing="1" w:line="360" w:lineRule="auto"/>
        <w:jc w:val="center"/>
        <w:outlineLvl w:val="9"/>
        <w:rPr>
          <w:rFonts w:hint="eastAsia"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hint="eastAsia" w:ascii="仿宋" w:hAnsi="仿宋" w:eastAsia="仿宋" w:cs="仿宋"/>
          <w:kern w:val="0"/>
          <w:sz w:val="32"/>
          <w:szCs w:val="32"/>
          <w:lang w:bidi="ar"/>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lang w:bidi="ar"/>
        </w:rPr>
        <w:t>本单位决算公开信息反馈和联系方式：</w:t>
      </w:r>
    </w:p>
    <w:p>
      <w:pPr>
        <w:widowControl/>
        <w:spacing w:before="240" w:after="24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    联系人：张立伟    联系电话：0479-8246817</w:t>
      </w:r>
    </w:p>
    <w:p>
      <w:pPr>
        <w:widowControl/>
        <w:spacing w:before="240" w:after="240"/>
        <w:jc w:val="left"/>
        <w:rPr>
          <w:rFonts w:hint="eastAsia" w:ascii="仿宋" w:hAnsi="仿宋" w:eastAsia="仿宋" w:cs="仿宋"/>
          <w:kern w:val="0"/>
          <w:sz w:val="32"/>
          <w:szCs w:val="32"/>
          <w:lang w:bidi="ar"/>
        </w:rPr>
      </w:pP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p>
    <w:p>
      <w:pPr>
        <w:pStyle w:val="5"/>
        <w:keepNext/>
        <w:keepLines w:val="0"/>
        <w:widowControl/>
        <w:suppressLineNumbers w:val="0"/>
        <w:spacing w:line="360" w:lineRule="auto"/>
        <w:jc w:val="center"/>
        <w:rPr>
          <w:rFonts w:hint="eastAsia" w:ascii="方正小标宋简体" w:hAnsi="方正小标宋简体" w:eastAsia="方正小标宋简体" w:cs="方正小标宋简体"/>
          <w:sz w:val="36"/>
          <w:szCs w:val="36"/>
        </w:rPr>
      </w:pPr>
    </w:p>
    <w:p>
      <w:pPr>
        <w:pStyle w:val="5"/>
        <w:keepNext/>
        <w:keepLines w:val="0"/>
        <w:widowControl/>
        <w:suppressLineNumbers w:val="0"/>
        <w:spacing w:line="360" w:lineRule="auto"/>
        <w:jc w:val="center"/>
        <w:rPr>
          <w:rFonts w:ascii="Times New Roman" w:hAnsi="Times New Roman" w:eastAsia="Times New Roman" w:cs="Times New Roman"/>
          <w:kern w:val="0"/>
          <w:sz w:val="24"/>
        </w:rPr>
      </w:pPr>
      <w:r>
        <w:rPr>
          <w:rFonts w:hint="eastAsia" w:ascii="方正小标宋简体" w:hAnsi="方正小标宋简体" w:eastAsia="方正小标宋简体" w:cs="方正小标宋简体"/>
          <w:sz w:val="36"/>
          <w:szCs w:val="36"/>
        </w:rPr>
        <w:t>第五部分 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年度单位决算表</w:t>
      </w:r>
    </w:p>
    <w:p>
      <w:pPr>
        <w:keepNext w:val="0"/>
        <w:keepLines w:val="0"/>
        <w:widowControl/>
        <w:suppressLineNumbers w:val="0"/>
        <w:spacing w:before="0" w:beforeAutospacing="1" w:after="0" w:afterAutospacing="1" w:line="600" w:lineRule="atLeast"/>
        <w:ind w:left="0" w:right="0" w:firstLine="640"/>
        <w:jc w:val="both"/>
        <w:rPr>
          <w:sz w:val="32"/>
          <w:szCs w:val="32"/>
        </w:rPr>
      </w:pPr>
      <w:r>
        <w:rPr>
          <w:rFonts w:ascii="fang_song_gb2312" w:hAnsi="fang_song_gb2312" w:eastAsia="fang_song_gb2312" w:cs="fang_song_gb2312"/>
          <w:kern w:val="0"/>
          <w:sz w:val="27"/>
          <w:szCs w:val="27"/>
        </w:rPr>
        <w:t xml:space="preserve">  </w:t>
      </w:r>
      <w:r>
        <w:rPr>
          <w:rFonts w:asciiTheme="minorEastAsia" w:hAnsiTheme="minorEastAsia" w:eastAsiaTheme="minorEastAsia" w:cstheme="minorEastAsia"/>
          <w:kern w:val="0"/>
          <w:sz w:val="32"/>
          <w:szCs w:val="32"/>
          <w:lang w:bidi="ar"/>
        </w:rPr>
        <w:t> </w:t>
      </w:r>
      <w:r>
        <w:rPr>
          <w:sz w:val="32"/>
          <w:szCs w:val="32"/>
        </w:rPr>
        <w:t>详见附件。</w:t>
      </w: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pPr>
      <w:r>
        <w:drawing>
          <wp:inline distT="0" distB="0" distL="114300" distR="114300">
            <wp:extent cx="5393055" cy="5656580"/>
            <wp:effectExtent l="0" t="0" r="171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93055" cy="5656580"/>
                    </a:xfrm>
                    <a:prstGeom prst="rect">
                      <a:avLst/>
                    </a:prstGeom>
                    <a:noFill/>
                    <a:ln>
                      <a:noFill/>
                    </a:ln>
                  </pic:spPr>
                </pic:pic>
              </a:graphicData>
            </a:graphic>
          </wp:inline>
        </w:drawing>
      </w:r>
    </w:p>
    <w:p>
      <w:pPr>
        <w:pStyle w:val="2"/>
      </w:pPr>
    </w:p>
    <w:p>
      <w:pPr>
        <w:pStyle w:val="2"/>
      </w:pPr>
    </w:p>
    <w:p>
      <w:pPr>
        <w:pStyle w:val="2"/>
      </w:pPr>
    </w:p>
    <w:p>
      <w:pPr>
        <w:pStyle w:val="2"/>
      </w:pPr>
    </w:p>
    <w:p>
      <w:pPr>
        <w:pStyle w:val="2"/>
        <w:rPr>
          <w:sz w:val="32"/>
          <w:szCs w:val="32"/>
        </w:rPr>
      </w:pPr>
    </w:p>
    <w:p>
      <w:pPr>
        <w:pStyle w:val="2"/>
        <w:rPr>
          <w:sz w:val="32"/>
          <w:szCs w:val="32"/>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r>
        <w:drawing>
          <wp:inline distT="0" distB="0" distL="114300" distR="114300">
            <wp:extent cx="6181090" cy="3447415"/>
            <wp:effectExtent l="0" t="0" r="1016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181090" cy="3447415"/>
                    </a:xfrm>
                    <a:prstGeom prst="rect">
                      <a:avLst/>
                    </a:prstGeom>
                    <a:noFill/>
                    <a:ln>
                      <a:noFill/>
                    </a:ln>
                  </pic:spPr>
                </pic:pic>
              </a:graphicData>
            </a:graphic>
          </wp:inline>
        </w:drawing>
      </w:r>
    </w:p>
    <w:p>
      <w:pPr>
        <w:pStyle w:val="2"/>
      </w:pPr>
    </w:p>
    <w:p>
      <w:pPr>
        <w:pStyle w:val="2"/>
      </w:pPr>
    </w:p>
    <w:p>
      <w:pPr>
        <w:pStyle w:val="2"/>
        <w:ind w:left="0" w:leftChars="0" w:firstLine="0" w:firstLineChars="0"/>
      </w:pPr>
      <w:r>
        <w:drawing>
          <wp:inline distT="0" distB="0" distL="114300" distR="114300">
            <wp:extent cx="6184900" cy="3476625"/>
            <wp:effectExtent l="0" t="0" r="635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6184900" cy="347662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6183630" cy="5114925"/>
            <wp:effectExtent l="0" t="0" r="762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6183630" cy="511492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sectPr>
          <w:footerReference r:id="rId4" w:type="default"/>
          <w:pgSz w:w="11906" w:h="16838"/>
          <w:pgMar w:top="1440" w:right="1083" w:bottom="1440" w:left="1083" w:header="0" w:footer="720" w:gutter="0"/>
          <w:cols w:space="425" w:num="1"/>
          <w:docGrid w:type="lines" w:linePitch="312" w:charSpace="0"/>
        </w:sectPr>
      </w:pPr>
      <w:r>
        <w:drawing>
          <wp:inline distT="0" distB="0" distL="114300" distR="114300">
            <wp:extent cx="6180455" cy="3646170"/>
            <wp:effectExtent l="0" t="0" r="10795" b="1143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2"/>
                    <a:stretch>
                      <a:fillRect/>
                    </a:stretch>
                  </pic:blipFill>
                  <pic:spPr>
                    <a:xfrm>
                      <a:off x="0" y="0"/>
                      <a:ext cx="6180455" cy="364617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8855075" cy="5305425"/>
            <wp:effectExtent l="0" t="0" r="317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3"/>
                    <a:stretch>
                      <a:fillRect/>
                    </a:stretch>
                  </pic:blipFill>
                  <pic:spPr>
                    <a:xfrm>
                      <a:off x="0" y="0"/>
                      <a:ext cx="8855075" cy="530542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8856345" cy="6110605"/>
            <wp:effectExtent l="0" t="0" r="1905" b="444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4"/>
                    <a:stretch>
                      <a:fillRect/>
                    </a:stretch>
                  </pic:blipFill>
                  <pic:spPr>
                    <a:xfrm>
                      <a:off x="0" y="0"/>
                      <a:ext cx="8856345" cy="611060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r>
        <w:drawing>
          <wp:inline distT="0" distB="0" distL="114300" distR="114300">
            <wp:extent cx="7781925" cy="2686050"/>
            <wp:effectExtent l="0" t="0" r="9525"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5"/>
                    <a:stretch>
                      <a:fillRect/>
                    </a:stretch>
                  </pic:blipFill>
                  <pic:spPr>
                    <a:xfrm>
                      <a:off x="0" y="0"/>
                      <a:ext cx="7781925" cy="268605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6438900" cy="394335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6"/>
                    <a:stretch>
                      <a:fillRect/>
                    </a:stretch>
                  </pic:blipFill>
                  <pic:spPr>
                    <a:xfrm>
                      <a:off x="0" y="0"/>
                      <a:ext cx="6438900" cy="3943350"/>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sectPr>
          <w:pgSz w:w="16838" w:h="11906" w:orient="landscape"/>
          <w:pgMar w:top="1083" w:right="1440" w:bottom="1083" w:left="1440" w:header="0" w:footer="720" w:gutter="0"/>
          <w:cols w:space="425" w:num="1"/>
          <w:docGrid w:type="lines" w:linePitch="312" w:charSpace="0"/>
        </w:sectPr>
      </w:pPr>
    </w:p>
    <w:p>
      <w:pPr>
        <w:pStyle w:val="2"/>
        <w:ind w:left="0" w:leftChars="0" w:firstLine="0" w:firstLineChars="0"/>
      </w:pPr>
    </w:p>
    <w:p>
      <w:pPr>
        <w:pStyle w:val="2"/>
        <w:ind w:left="0" w:leftChars="0" w:firstLine="0" w:firstLineChars="0"/>
      </w:pPr>
    </w:p>
    <w:p>
      <w:pPr>
        <w:pStyle w:val="2"/>
        <w:ind w:left="0" w:leftChars="0" w:firstLine="0" w:firstLineChars="0"/>
      </w:pPr>
      <w:r>
        <w:drawing>
          <wp:inline distT="0" distB="0" distL="114300" distR="114300">
            <wp:extent cx="8448675" cy="5381625"/>
            <wp:effectExtent l="0" t="0" r="9525" b="952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7"/>
                    <a:stretch>
                      <a:fillRect/>
                    </a:stretch>
                  </pic:blipFill>
                  <pic:spPr>
                    <a:xfrm>
                      <a:off x="0" y="0"/>
                      <a:ext cx="8448675" cy="538162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r>
        <w:drawing>
          <wp:inline distT="0" distB="0" distL="114300" distR="114300">
            <wp:extent cx="8854440" cy="4554855"/>
            <wp:effectExtent l="0" t="0" r="3810" b="1714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18"/>
                    <a:stretch>
                      <a:fillRect/>
                    </a:stretch>
                  </pic:blipFill>
                  <pic:spPr>
                    <a:xfrm>
                      <a:off x="0" y="0"/>
                      <a:ext cx="8854440" cy="4554855"/>
                    </a:xfrm>
                    <a:prstGeom prst="rect">
                      <a:avLst/>
                    </a:prstGeom>
                    <a:noFill/>
                    <a:ln>
                      <a:noFill/>
                    </a:ln>
                  </pic:spPr>
                </pic:pic>
              </a:graphicData>
            </a:graphic>
          </wp:inline>
        </w:drawing>
      </w:r>
      <w:bookmarkStart w:id="1" w:name="_GoBack"/>
      <w:bookmarkEnd w:id="1"/>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sectPr>
      <w:pgSz w:w="16838" w:h="11906" w:orient="landscape"/>
      <w:pgMar w:top="1083" w:right="1440" w:bottom="1083" w:left="144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fang_zheng_xiao_biao_song_ti">
    <w:altName w:val="Segoe Print"/>
    <w:panose1 w:val="00000000000000000000"/>
    <w:charset w:val="00"/>
    <w:family w:val="auto"/>
    <w:pitch w:val="default"/>
    <w:sig w:usb0="00000000" w:usb1="00000000" w:usb2="00000000" w:usb3="00000000" w:csb0="00000000" w:csb1="00000000"/>
  </w:font>
  <w:font w:name="fang_song_gb231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23</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EFAF1"/>
    <w:multiLevelType w:val="singleLevel"/>
    <w:tmpl w:val="FBFEFAF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YTFmMjVkMDUwMGRjY2UyMjJhYzYyNjc2Yzg3NG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284D136A"/>
    <w:rsid w:val="5AA71877"/>
    <w:rsid w:val="676345B6"/>
    <w:rsid w:val="6E774910"/>
    <w:rsid w:val="7BB420BF"/>
    <w:rsid w:val="7F810627"/>
    <w:rsid w:val="8D9F4C9B"/>
    <w:rsid w:val="BE2F8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3">
    <w:name w:val="BodyTextIndent"/>
    <w:basedOn w:val="1"/>
    <w:next w:val="2"/>
    <w:qFormat/>
    <w:uiPriority w:val="0"/>
    <w:pPr>
      <w:widowControl/>
      <w:wordWrap/>
      <w:autoSpaceDE/>
      <w:autoSpaceDN/>
      <w:ind w:left="420" w:firstLine="0"/>
      <w:jc w:val="both"/>
      <w:textAlignment w:val="baseline"/>
    </w:p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unhideWhenUsed/>
    <w:qFormat/>
    <w:uiPriority w:val="1"/>
    <w:pPr>
      <w:spacing w:after="120"/>
    </w:p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qFormat/>
    <w:uiPriority w:val="0"/>
    <w:pPr>
      <w:ind w:left="1680"/>
      <w:jc w:val="left"/>
    </w:pPr>
    <w:rPr>
      <w:sz w:val="20"/>
      <w:szCs w:val="20"/>
    </w:r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7"/>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4"/>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6"/>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Sheet1!$B$1</c:f>
              <c:strCache>
                <c:ptCount val="1"/>
                <c:pt idx="0">
                  <c:v>一般财政拨款收入</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一般财政拨款收入</c:v>
                </c:pt>
              </c:strCache>
            </c:strRef>
          </c:cat>
          <c:val>
            <c:numRef>
              <c:f>Sheet1!$B$2:$B$5</c:f>
              <c:numCache>
                <c:formatCode>General</c:formatCode>
                <c:ptCount val="4"/>
                <c:pt idx="0">
                  <c:v>90.77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049300556838"/>
          <c:y val="0.179938157081014"/>
          <c:w val="0.477826972701345"/>
          <c:h val="0.725260770975057"/>
        </c:manualLayout>
      </c:layout>
      <c:doughnutChart>
        <c:varyColors val="1"/>
        <c:ser>
          <c:idx val="0"/>
          <c:order val="0"/>
          <c:tx>
            <c:strRef>
              <c:f>Sheet1!$B$1</c:f>
              <c:strCache>
                <c:ptCount val="1"/>
                <c:pt idx="0">
                  <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本年支出决算合计</c:v>
                </c:pt>
              </c:strCache>
            </c:strRef>
          </c:cat>
          <c:val>
            <c:numRef>
              <c:f>Sheet1!$B$2:$B$5</c:f>
              <c:numCache>
                <c:formatCode>General</c:formatCode>
                <c:ptCount val="4"/>
                <c:pt idx="0">
                  <c:v>63.17</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1233</Words>
  <Characters>1256</Characters>
  <Lines>1</Lines>
  <Paragraphs>1</Paragraphs>
  <TotalTime>5</TotalTime>
  <ScaleCrop>false</ScaleCrop>
  <LinksUpToDate>false</LinksUpToDate>
  <CharactersWithSpaces>1280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Administrator</dc:creator>
  <cp:lastModifiedBy>Administrator</cp:lastModifiedBy>
  <cp:lastPrinted>2021-04-16T08:45:00Z</cp:lastPrinted>
  <dcterms:modified xsi:type="dcterms:W3CDTF">2024-11-07T07:34:35Z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B687F085DF064656AAEB4BA32C03F687_12</vt:lpwstr>
  </property>
</Properties>
</file>