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bookmarkStart w:id="0" w:name="_GoBack"/>
      <w:bookmarkEnd w:id="0"/>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val="en-US" w:eastAsia="zh-CN"/>
        </w:rPr>
        <w:t>锡林郭勒盟</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福利彩票销售服中心</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年      月     日</w:t>
      </w:r>
    </w:p>
    <w:p>
      <w:pPr>
        <w:pStyle w:val="19"/>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3"/>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9"/>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年度部门（单位）主要工作任务及目标</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年度部门（单位）预算表</w:t>
      </w:r>
    </w:p>
    <w:p>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1.协助制定全盟福利彩票管理办法和实施细则，组织指导全盟福利彩票销售工作。</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2.承担全盟福利彩票的形象建设、彩票代销、营销宣传和业务培训等工作。</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3.完成盟民政局交办的其他工作任务。</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二、部门机构设置及预算单位构成情况</w:t>
      </w:r>
    </w:p>
    <w:p>
      <w:pPr>
        <w:pageBreakBefore w:val="0"/>
        <w:kinsoku/>
        <w:wordWrap/>
        <w:overflowPunct/>
        <w:topLinePunct w:val="0"/>
        <w:bidi w:val="0"/>
        <w:spacing w:line="600" w:lineRule="exact"/>
        <w:ind w:firstLine="640" w:firstLineChars="200"/>
        <w:rPr>
          <w:rFonts w:eastAsia="仿宋_GB2312" w:cstheme="minorBidi"/>
          <w:sz w:val="32"/>
          <w:szCs w:val="32"/>
          <w:highlight w:val="yellow"/>
        </w:rPr>
      </w:pPr>
      <w:r>
        <w:rPr>
          <w:rFonts w:hint="eastAsia" w:eastAsia="仿宋_GB2312" w:cstheme="minorBidi"/>
          <w:sz w:val="32"/>
          <w:szCs w:val="32"/>
        </w:rPr>
        <w:t>1．</w:t>
      </w:r>
      <w:r>
        <w:rPr>
          <w:rFonts w:hint="eastAsia" w:eastAsia="仿宋_GB2312" w:cstheme="minorBidi"/>
          <w:sz w:val="32"/>
          <w:szCs w:val="32"/>
          <w:lang w:val="en-US" w:eastAsia="zh-CN"/>
        </w:rPr>
        <w:t>本部门无下属单位。</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rPr>
        <w:t>2．从预算单位构成看，纳入本部门</w:t>
      </w:r>
      <w:r>
        <w:rPr>
          <w:rFonts w:hint="eastAsia" w:eastAsia="仿宋_GB2312" w:cstheme="minorBidi"/>
          <w:sz w:val="32"/>
          <w:szCs w:val="32"/>
          <w:lang w:val="en-US" w:eastAsia="zh-CN"/>
        </w:rPr>
        <w:t>2024</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eastAsia" w:eastAsia="仿宋_GB2312" w:cstheme="minorBidi"/>
          <w:sz w:val="32"/>
          <w:szCs w:val="32"/>
          <w:lang w:val="en-US" w:eastAsia="zh-CN"/>
        </w:rPr>
        <w:t>锡林郭勒盟福利彩票销售服务中心</w:t>
      </w:r>
      <w:r>
        <w:rPr>
          <w:rFonts w:hint="eastAsia" w:eastAsia="仿宋_GB2312" w:cstheme="minorBidi"/>
          <w:sz w:val="32"/>
          <w:szCs w:val="32"/>
        </w:rPr>
        <w:t>部门本级。</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锡林郭勒盟福利彩票销售服务中心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公益二类</w:t>
            </w:r>
            <w:r>
              <w:rPr>
                <w:rFonts w:hint="eastAsia" w:ascii="仿宋" w:hAnsi="仿宋" w:eastAsia="仿宋" w:cs="仿宋"/>
                <w:kern w:val="0"/>
                <w:sz w:val="30"/>
                <w:szCs w:val="30"/>
              </w:rPr>
              <w:t>事业单位</w:t>
            </w:r>
          </w:p>
        </w:tc>
      </w:tr>
    </w:tbl>
    <w:p>
      <w:pPr>
        <w:pageBreakBefore w:val="0"/>
        <w:kinsoku/>
        <w:wordWrap/>
        <w:overflowPunct/>
        <w:topLinePunct w:val="0"/>
        <w:bidi w:val="0"/>
        <w:spacing w:line="600" w:lineRule="exact"/>
        <w:rPr>
          <w:rFonts w:hint="eastAsia" w:eastAsia="黑体" w:cs="黑体"/>
          <w:b w:val="0"/>
          <w:bCs w:val="0"/>
          <w:sz w:val="32"/>
          <w:szCs w:val="36"/>
        </w:rPr>
      </w:pPr>
    </w:p>
    <w:p>
      <w:pPr>
        <w:pStyle w:val="9"/>
        <w:spacing w:after="0" w:line="600" w:lineRule="exact"/>
        <w:ind w:left="17" w:leftChars="8" w:firstLine="640" w:firstLineChars="20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年部门（单位）主要工作任务及目标</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2024年，锡盟福彩中心将一以贯之地坚持以习近平新时代中国特色社会主义思想为指导，开展主题教育学习，按照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学思想、强党性、重实践、建新功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总要求，扎实推进学习贯彻习近平新时代中国特色社会主义思想主题教育走深走实，持续深入责任福彩建设，准确把握福利彩票的人民性、国家性、公益性，坚定不移地秉持发行宗旨，切实有力地维护公平、公正、公开、公信、公益良好形象。</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）加强党建引领，</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福彩事业健康发展。</w:t>
      </w:r>
      <w:r>
        <w:rPr>
          <w:rFonts w:hint="eastAsia" w:ascii="仿宋_GB2312" w:hAnsi="仿宋_GB2312" w:eastAsia="仿宋_GB2312" w:cs="仿宋_GB2312"/>
          <w:sz w:val="32"/>
          <w:szCs w:val="32"/>
          <w:lang w:val="en-US" w:eastAsia="zh-CN"/>
        </w:rPr>
        <w:t>强化高站位对标看齐，坚持把党的领导贯穿于福彩发展全过程、各领域，着力发挥党建对福彩工作的引领保障作用。</w:t>
      </w:r>
      <w:r>
        <w:rPr>
          <w:rFonts w:hint="eastAsia" w:ascii="仿宋_GB2312" w:hAnsi="仿宋_GB2312" w:eastAsia="仿宋_GB2312" w:cs="仿宋_GB2312"/>
          <w:sz w:val="32"/>
          <w:szCs w:val="32"/>
        </w:rPr>
        <w:t>牢牢把握“学思想、强党性、重实践、建新功”的总要求，抓细抓实各项任务落实，以强烈的事业心和责任感，从严从细落实好各项</w:t>
      </w:r>
      <w:r>
        <w:rPr>
          <w:rFonts w:hint="eastAsia" w:ascii="仿宋_GB2312" w:hAnsi="仿宋_GB2312" w:eastAsia="仿宋_GB2312" w:cs="仿宋_GB2312"/>
          <w:sz w:val="32"/>
          <w:szCs w:val="32"/>
          <w:lang w:val="en-US" w:eastAsia="zh-CN"/>
        </w:rPr>
        <w:t>任务，引领福彩事业高质量发展。</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（二）抓住促销契机，</w:t>
      </w:r>
      <w:r>
        <w:rPr>
          <w:rFonts w:hint="eastAsia" w:ascii="仿宋_GB2312" w:hAnsi="仿宋_GB2312" w:eastAsia="仿宋_GB2312" w:cs="仿宋_GB2312"/>
          <w:sz w:val="32"/>
          <w:szCs w:val="32"/>
          <w:lang w:eastAsia="zh-CN"/>
        </w:rPr>
        <w:t>促进销量持续增长。</w:t>
      </w:r>
      <w:r>
        <w:rPr>
          <w:rFonts w:hint="eastAsia" w:ascii="仿宋_GB2312" w:hAnsi="仿宋_GB2312" w:eastAsia="仿宋_GB2312" w:cs="仿宋_GB2312"/>
          <w:sz w:val="32"/>
          <w:szCs w:val="32"/>
        </w:rPr>
        <w:t>在派奖期间和销售淡季，充分发挥有经验站点进行“传帮带”作用，凭借各电脑票站点，继续鼓励业主积极开展流动户外小卖场活动，宣扬福彩公益性，提升福彩销量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预计2024年锡盟福彩总销量较2023年整体上涨20%。</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（三）加大宣传力度，强化营销促销手段。</w:t>
      </w:r>
      <w:r>
        <w:rPr>
          <w:rFonts w:hint="eastAsia" w:ascii="仿宋_GB2312" w:hAnsi="仿宋_GB2312" w:eastAsia="仿宋_GB2312" w:cs="仿宋_GB2312"/>
          <w:sz w:val="32"/>
          <w:szCs w:val="32"/>
        </w:rPr>
        <w:t>加大朋友圈、公众号等互联网载体的应用，指导彩票销售站点推广促销信息、中奖信息，</w:t>
      </w:r>
      <w:r>
        <w:rPr>
          <w:rFonts w:hint="eastAsia" w:ascii="仿宋_GB2312" w:hAnsi="仿宋_GB2312" w:eastAsia="仿宋_GB2312" w:cs="仿宋_GB2312"/>
          <w:sz w:val="32"/>
          <w:szCs w:val="32"/>
          <w:lang w:val="en-US" w:eastAsia="zh-CN"/>
        </w:rPr>
        <w:t>加大上级、本级营销活动宣传力度，</w:t>
      </w:r>
      <w:r>
        <w:rPr>
          <w:rFonts w:hint="eastAsia" w:ascii="仿宋_GB2312" w:hAnsi="仿宋_GB2312" w:eastAsia="仿宋_GB2312" w:cs="仿宋_GB2312"/>
          <w:sz w:val="32"/>
          <w:szCs w:val="32"/>
        </w:rPr>
        <w:t>同时根据店内环境的变化，对标牌上的信息展示方式进行灵活调整，以达到良好的宣传效果，促进销量上涨。</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（四）加强渠道拓展工作，</w:t>
      </w:r>
      <w:r>
        <w:rPr>
          <w:rFonts w:hint="eastAsia" w:ascii="仿宋_GB2312" w:hAnsi="仿宋_GB2312" w:eastAsia="仿宋_GB2312" w:cs="仿宋_GB2312"/>
          <w:sz w:val="32"/>
          <w:szCs w:val="32"/>
          <w:lang w:eastAsia="zh-CN"/>
        </w:rPr>
        <w:t>开展市场营销宣传。</w:t>
      </w:r>
      <w:r>
        <w:rPr>
          <w:rFonts w:hint="eastAsia" w:ascii="仿宋_GB2312" w:hAnsi="仿宋_GB2312" w:eastAsia="仿宋_GB2312" w:cs="仿宋_GB2312"/>
          <w:sz w:val="32"/>
          <w:szCs w:val="32"/>
        </w:rPr>
        <w:t>积极探索“商彩”联销模式、“便利店”销售模式，联合本地大型商超，</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val="en-US" w:eastAsia="zh-CN"/>
        </w:rPr>
        <w:t>宣销一体化站点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突出福彩公益宣传，利用即开票“即买、即开、即兑”的特性，着力布局符合年轻人审美和需求的专营店，拉动年轻人群体购买力。</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加强福彩营销培训，提升业务水平。</w:t>
      </w:r>
      <w:r>
        <w:rPr>
          <w:rFonts w:hint="eastAsia" w:ascii="仿宋_GB2312" w:hAnsi="仿宋_GB2312" w:eastAsia="仿宋_GB2312" w:cs="仿宋_GB2312"/>
          <w:sz w:val="32"/>
          <w:szCs w:val="32"/>
        </w:rPr>
        <w:t>制定符合锡盟市场需求的培训计划，不断改善销售环境、提升销售能力、打造福彩品牌形象。</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锚定目标任务，推动工作提质增效。要求中心各部门负责人制定全年工作计划台账，对照任务清单，细化工作举措，对照时限要求，按时汇报工作进展情况，压紧压实工作责任，确保各项工作高起点谋划、高水平推进、高效率运行，推动工作提质增效。</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（七）抓好福彩公益宣传，强化彩票公益形象。公益是福彩的灵魂，也是福彩可持续发展的动力所在、优势所在，</w:t>
      </w:r>
      <w:r>
        <w:rPr>
          <w:rFonts w:hint="eastAsia" w:ascii="仿宋_GB2312" w:hAnsi="仿宋_GB2312" w:eastAsia="仿宋_GB2312" w:cs="仿宋_GB2312"/>
          <w:sz w:val="32"/>
          <w:szCs w:val="32"/>
        </w:rPr>
        <w:t>进一步加强福彩公益性宣传，加强加深民众对福彩公益的认知。集中对当地彩票销售和公益金使用的各种信息进行公开，邀请民众走进彩票公益金资助的公益项目，组织彩票公益项目的志愿活动，开展即开型彩票的广场营销，在彩票网点举办丰富多彩的公益活动等。聚合多元主体，利用主流媒体和自媒体的参与报道等，构成立体交互的传播形式，最大化地传播福彩公益形象。</w:t>
      </w: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年度部门（单位）预算情况说明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9"/>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479.97</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lang w:val="en-US" w:eastAsia="zh-CN"/>
        </w:rPr>
        <w:t xml:space="preserve"> 224.33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46.74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479.97</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 xml:space="preserve"> 445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Style w:val="9"/>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34.97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220.67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86.32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本年度预算执行情况良好，结余结转减少</w:t>
      </w:r>
      <w:r>
        <w:rPr>
          <w:rFonts w:hint="default" w:ascii="Times New Roman" w:hAnsi="Times New Roman" w:eastAsia="仿宋_GB2312" w:cs="Times New Roman"/>
          <w:sz w:val="32"/>
          <w:szCs w:val="32"/>
          <w:highlight w:val="none"/>
        </w:rPr>
        <w:t>。</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479.97</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spacing w:after="0" w:line="600" w:lineRule="exact"/>
        <w:ind w:left="17" w:leftChars="8" w:firstLine="640" w:firstLineChars="200"/>
        <w:rPr>
          <w:rFonts w:eastAsia="仿宋_GB2312"/>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其他</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eastAsia" w:eastAsia="仿宋_GB2312"/>
          <w:sz w:val="32"/>
          <w:szCs w:val="32"/>
        </w:rPr>
        <w:t>人员经费、机构运转和业务活动支出</w:t>
      </w:r>
      <w:r>
        <w:rPr>
          <w:rFonts w:eastAsia="仿宋_GB2312"/>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224.33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46.74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Style w:val="9"/>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val="en-US" w:eastAsia="zh-CN"/>
        </w:rPr>
        <w:t>预算收支平衡</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34.97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92.71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34.97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224.33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46.74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eastAsia="仿宋_GB2312" w:cstheme="minorBidi"/>
          <w:sz w:val="32"/>
          <w:szCs w:val="32"/>
          <w:lang w:val="en-US" w:eastAsia="zh-CN"/>
        </w:rPr>
      </w:pPr>
      <w:r>
        <w:rPr>
          <w:rFonts w:hint="eastAsia" w:eastAsia="仿宋_GB2312" w:cstheme="minorBidi"/>
          <w:sz w:val="32"/>
          <w:szCs w:val="32"/>
          <w:lang w:val="en-US" w:eastAsia="zh-CN"/>
        </w:rPr>
        <w:t>本年无一般公共预算支出。</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heme="minorBidi"/>
          <w:sz w:val="32"/>
          <w:szCs w:val="32"/>
          <w:lang w:val="en-US" w:eastAsia="zh-CN"/>
        </w:rPr>
        <w:t>本年无一般公共预算支出</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0</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0</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 xml:space="preserve">  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是我单位无一般公共预算“三公”经费支出</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是我单位无一般公共预算“三公”经费支出</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val="en-US" w:eastAsia="zh-CN"/>
        </w:rPr>
        <w:t>是我单位无一般公共预算“三公”经费支出</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是我单位无一般公共预算“三公”经费支出</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479.97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224.33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46.74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本年度项目增加，年初预算增加</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其他支</w:t>
      </w:r>
      <w:r>
        <w:rPr>
          <w:rFonts w:hint="default" w:ascii="Times New Roman" w:hAnsi="Times New Roman" w:eastAsia="仿宋_GB2312" w:cs="Times New Roman"/>
          <w:sz w:val="32"/>
          <w:szCs w:val="32"/>
        </w:rPr>
        <w:t>出（类）</w:t>
      </w:r>
      <w:r>
        <w:rPr>
          <w:rFonts w:hint="eastAsia" w:eastAsia="仿宋_GB2312" w:cs="Times New Roman"/>
          <w:sz w:val="32"/>
          <w:szCs w:val="32"/>
          <w:lang w:val="en-US" w:eastAsia="zh-CN"/>
        </w:rPr>
        <w:t>彩票发行销售机构业务费安排的</w:t>
      </w:r>
      <w:r>
        <w:rPr>
          <w:rFonts w:hint="default" w:ascii="Times New Roman" w:hAnsi="Times New Roman" w:eastAsia="仿宋_GB2312" w:cs="Times New Roman"/>
          <w:sz w:val="32"/>
          <w:szCs w:val="32"/>
        </w:rPr>
        <w:t>支出（款）</w:t>
      </w:r>
      <w:r>
        <w:rPr>
          <w:rFonts w:hint="eastAsia" w:eastAsia="仿宋_GB2312" w:cs="Times New Roman"/>
          <w:sz w:val="32"/>
          <w:szCs w:val="32"/>
          <w:lang w:val="en-US" w:eastAsia="zh-CN"/>
        </w:rPr>
        <w:t>彩票市场调控资金</w:t>
      </w:r>
      <w:r>
        <w:rPr>
          <w:rFonts w:hint="default" w:ascii="Times New Roman" w:hAnsi="Times New Roman" w:eastAsia="仿宋_GB2312" w:cs="Times New Roman"/>
          <w:sz w:val="32"/>
          <w:szCs w:val="32"/>
        </w:rPr>
        <w:t>支出（项）支出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万元，主要是用于</w:t>
      </w:r>
      <w:r>
        <w:rPr>
          <w:rFonts w:hint="eastAsia" w:ascii="仿宋_GB2312" w:hAnsi="仿宋_GB2312" w:eastAsia="仿宋_GB2312" w:cs="仿宋_GB2312"/>
          <w:bCs/>
          <w:color w:val="auto"/>
          <w:sz w:val="32"/>
          <w:szCs w:val="32"/>
          <w:highlight w:val="none"/>
          <w:lang w:val="en-US" w:eastAsia="zh-CN"/>
        </w:rPr>
        <w:t>福利彩票销售站点标准化建设</w:t>
      </w:r>
      <w:r>
        <w:rPr>
          <w:rFonts w:hint="default" w:ascii="Times New Roman" w:hAnsi="Times New Roman" w:eastAsia="仿宋_GB2312" w:cs="Times New Roman"/>
          <w:sz w:val="32"/>
          <w:szCs w:val="32"/>
        </w:rPr>
        <w:t>。</w:t>
      </w:r>
    </w:p>
    <w:p>
      <w:pPr>
        <w:pStyle w:val="9"/>
        <w:spacing w:after="0" w:line="600" w:lineRule="exact"/>
        <w:ind w:left="17" w:leftChars="8" w:firstLine="640" w:firstLineChars="200"/>
        <w:rPr>
          <w:rFonts w:eastAsia="仿宋_GB2312"/>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其他支</w:t>
      </w:r>
      <w:r>
        <w:rPr>
          <w:rFonts w:hint="default" w:ascii="Times New Roman" w:hAnsi="Times New Roman" w:eastAsia="仿宋_GB2312" w:cs="Times New Roman"/>
          <w:sz w:val="32"/>
          <w:szCs w:val="32"/>
        </w:rPr>
        <w:t>出（类）</w:t>
      </w:r>
      <w:r>
        <w:rPr>
          <w:rFonts w:hint="eastAsia" w:eastAsia="仿宋_GB2312" w:cs="Times New Roman"/>
          <w:sz w:val="32"/>
          <w:szCs w:val="32"/>
          <w:lang w:val="en-US" w:eastAsia="zh-CN"/>
        </w:rPr>
        <w:t>彩票发行销售机构业务费安排的</w:t>
      </w:r>
      <w:r>
        <w:rPr>
          <w:rFonts w:hint="default" w:ascii="Times New Roman" w:hAnsi="Times New Roman" w:eastAsia="仿宋_GB2312" w:cs="Times New Roman"/>
          <w:sz w:val="32"/>
          <w:szCs w:val="32"/>
        </w:rPr>
        <w:t>支出（款）</w:t>
      </w:r>
      <w:r>
        <w:rPr>
          <w:rFonts w:hint="eastAsia" w:eastAsia="仿宋_GB2312" w:cs="Times New Roman"/>
          <w:sz w:val="32"/>
          <w:szCs w:val="32"/>
          <w:lang w:val="en-US" w:eastAsia="zh-CN"/>
        </w:rPr>
        <w:t xml:space="preserve">福利彩票销售机构的业务费支出（项）支出 </w:t>
      </w:r>
      <w:r>
        <w:rPr>
          <w:rFonts w:hint="eastAsia" w:eastAsia="仿宋_GB2312" w:cs="Times New Roman"/>
          <w:sz w:val="32"/>
          <w:szCs w:val="32"/>
          <w:u w:val="single"/>
          <w:lang w:val="en-US" w:eastAsia="zh-CN"/>
        </w:rPr>
        <w:t xml:space="preserve"> 427.97</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主要是用于</w:t>
      </w:r>
      <w:r>
        <w:rPr>
          <w:rFonts w:hint="eastAsia" w:eastAsia="仿宋_GB2312"/>
          <w:sz w:val="32"/>
          <w:szCs w:val="32"/>
        </w:rPr>
        <w:t>人员经费、机构运转和业务活动支出</w:t>
      </w:r>
      <w:r>
        <w:rPr>
          <w:rFonts w:eastAsia="仿宋_GB2312"/>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lang w:val="en-US" w:eastAsia="zh-CN"/>
        </w:rPr>
        <w:t>锡林郭勒盟福利彩票销售服务中心</w:t>
      </w:r>
      <w:r>
        <w:rPr>
          <w:rFonts w:hint="eastAsia" w:eastAsia="仿宋_GB2312" w:cs="Times New Roman"/>
          <w:sz w:val="32"/>
          <w:szCs w:val="32"/>
          <w:lang w:val="en-US" w:eastAsia="zh-CN"/>
        </w:rPr>
        <w:t>2024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 xml:space="preserve"> </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lang w:val="en-US" w:eastAsia="zh-CN"/>
        </w:rPr>
        <w:t xml:space="preserve"> 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rPr>
        <w:tab/>
      </w:r>
      <w:r>
        <w:rPr>
          <w:rFonts w:hint="eastAsia" w:eastAsia="仿宋_GB2312" w:cstheme="minorBidi"/>
          <w:sz w:val="32"/>
          <w:szCs w:val="32"/>
          <w:u w:val="single"/>
          <w:lang w:val="en-US" w:eastAsia="zh-CN"/>
        </w:rPr>
        <w:t xml:space="preserve">0 </w:t>
      </w:r>
      <w:r>
        <w:rPr>
          <w:rFonts w:hint="eastAsia" w:eastAsia="仿宋_GB2312" w:cstheme="minorBidi"/>
          <w:sz w:val="32"/>
          <w:szCs w:val="32"/>
          <w:u w:val="single"/>
        </w:rPr>
        <w:t xml:space="preserve"> </w:t>
      </w:r>
      <w:r>
        <w:rPr>
          <w:rFonts w:hint="eastAsia" w:eastAsia="仿宋_GB2312" w:cstheme="minorBidi"/>
          <w:sz w:val="32"/>
          <w:szCs w:val="32"/>
        </w:rPr>
        <w:t>%。主要原因是本年无国有资本经营预算拨款支出。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年部门（单位）预算安排项目</w:t>
      </w:r>
      <w:r>
        <w:rPr>
          <w:rFonts w:hint="default" w:ascii="Times New Roman" w:hAnsi="Times New Roman" w:eastAsia="仿宋_GB2312" w:cs="Times New Roman"/>
          <w:sz w:val="32"/>
          <w:szCs w:val="32"/>
          <w:highlight w:val="none"/>
          <w:u w:val="single"/>
        </w:rPr>
        <w:tab/>
      </w:r>
      <w:r>
        <w:rPr>
          <w:rFonts w:hint="eastAsia" w:eastAsia="仿宋_GB2312" w:cs="Times New Roman"/>
          <w:sz w:val="32"/>
          <w:szCs w:val="32"/>
          <w:highlight w:val="none"/>
          <w:u w:val="single"/>
          <w:lang w:val="en-US" w:eastAsia="zh-CN"/>
        </w:rPr>
        <w:t>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 xml:space="preserve">479.97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34.97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（一）</w:t>
      </w:r>
      <w:r>
        <w:rPr>
          <w:rFonts w:hint="eastAsia" w:eastAsia="仿宋_GB2312" w:cs="Times New Roman"/>
          <w:bCs/>
          <w:color w:val="auto"/>
          <w:sz w:val="32"/>
          <w:szCs w:val="32"/>
          <w:lang w:val="en-US" w:eastAsia="zh-CN"/>
        </w:rPr>
        <w:t>提前下达2024年中央彩票市场调控资金（内财综〔2023〕1899号）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w:t>
      </w:r>
      <w:r>
        <w:rPr>
          <w:rFonts w:hint="eastAsia" w:ascii="仿宋_GB2312" w:hAnsi="仿宋_GB2312" w:eastAsia="仿宋_GB2312" w:cs="仿宋_GB2312"/>
          <w:bCs/>
          <w:color w:val="auto"/>
          <w:sz w:val="32"/>
          <w:szCs w:val="32"/>
          <w:highlight w:val="none"/>
          <w:lang w:val="en-US" w:eastAsia="zh-CN"/>
        </w:rPr>
        <w:t>福利彩票销售站点标准化建设</w:t>
      </w:r>
      <w:r>
        <w:rPr>
          <w:rFonts w:hint="eastAsia" w:eastAsia="仿宋_GB2312" w:cs="Times New Roman"/>
          <w:sz w:val="32"/>
          <w:szCs w:val="32"/>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内蒙古自治区财政厅关于提前下达2024年</w:t>
      </w:r>
      <w:r>
        <w:rPr>
          <w:rFonts w:hint="eastAsia" w:eastAsia="仿宋_GB2312" w:cs="Times New Roman"/>
          <w:bCs/>
          <w:color w:val="auto"/>
          <w:sz w:val="32"/>
          <w:szCs w:val="32"/>
          <w:lang w:val="en-US" w:eastAsia="zh-CN"/>
        </w:rPr>
        <w:t>中央彩票市场调控资金（福彩）预算指标</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lang w:val="en-US" w:eastAsia="zh-CN"/>
        </w:rPr>
        <w:t>内财综〔2023〕1899号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用于福利彩票销售站点标准化建设</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eastAsia="仿宋_GB2312" w:cstheme="minorBidi"/>
          <w:sz w:val="32"/>
          <w:szCs w:val="32"/>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eastAsia="仿宋_GB2312" w:cs="Times New Roman"/>
          <w:bCs/>
          <w:color w:val="auto"/>
          <w:sz w:val="32"/>
          <w:szCs w:val="32"/>
          <w:lang w:val="en-US" w:eastAsia="zh-CN"/>
        </w:rPr>
        <w:t>项目经费</w:t>
      </w:r>
      <w:r>
        <w:rPr>
          <w:rFonts w:hint="default" w:ascii="Times New Roman" w:hAnsi="Times New Roman" w:eastAsia="仿宋_GB2312" w:cs="Times New Roman"/>
          <w:bCs/>
          <w:color w:val="auto"/>
          <w:sz w:val="32"/>
          <w:szCs w:val="32"/>
        </w:rPr>
        <w:t>用于</w:t>
      </w:r>
      <w:r>
        <w:rPr>
          <w:rFonts w:hint="eastAsia" w:ascii="仿宋_GB2312" w:hAnsi="仿宋_GB2312" w:eastAsia="仿宋_GB2312" w:cs="仿宋_GB2312"/>
          <w:bCs/>
          <w:color w:val="auto"/>
          <w:sz w:val="32"/>
          <w:szCs w:val="32"/>
          <w:highlight w:val="none"/>
          <w:lang w:val="en-US" w:eastAsia="zh-CN"/>
        </w:rPr>
        <w:t>福利彩票销售站点标准化建设，更换门头牌匾，统一制作走势图、背景墙、公益墙、警示标语等</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52万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（二）</w:t>
      </w:r>
      <w:r>
        <w:rPr>
          <w:rFonts w:hint="eastAsia" w:eastAsia="仿宋_GB2312" w:cs="Times New Roman"/>
          <w:bCs/>
          <w:color w:val="auto"/>
          <w:sz w:val="32"/>
          <w:szCs w:val="32"/>
          <w:lang w:val="en-US" w:eastAsia="zh-CN"/>
        </w:rPr>
        <w:t>提前下达2024年盟市</w:t>
      </w:r>
      <w:r>
        <w:rPr>
          <w:rFonts w:hint="eastAsia" w:ascii="仿宋_GB2312" w:hAnsi="仿宋_GB2312" w:eastAsia="仿宋_GB2312" w:cs="仿宋_GB2312"/>
          <w:bCs/>
          <w:color w:val="auto"/>
          <w:sz w:val="32"/>
          <w:szCs w:val="32"/>
          <w:highlight w:val="none"/>
          <w:lang w:val="en-US" w:eastAsia="zh-CN"/>
        </w:rPr>
        <w:t>福利彩票销售机构基础建设及营销补贴资金</w:t>
      </w:r>
      <w:r>
        <w:rPr>
          <w:rFonts w:hint="eastAsia" w:eastAsia="仿宋_GB2312" w:cs="Times New Roman"/>
          <w:bCs/>
          <w:color w:val="auto"/>
          <w:sz w:val="32"/>
          <w:szCs w:val="32"/>
          <w:lang w:val="en-US" w:eastAsia="zh-CN"/>
        </w:rPr>
        <w:t>（内财综〔2023〕1894号）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bCs/>
          <w:color w:val="auto"/>
          <w:sz w:val="32"/>
          <w:szCs w:val="32"/>
        </w:rPr>
        <w:t>本项目主要用于202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w:t>
      </w:r>
      <w:r>
        <w:rPr>
          <w:rFonts w:hint="eastAsia" w:ascii="仿宋_GB2312" w:hAnsi="仿宋_GB2312" w:eastAsia="仿宋_GB2312" w:cs="仿宋_GB2312"/>
          <w:bCs/>
          <w:color w:val="auto"/>
          <w:sz w:val="32"/>
          <w:szCs w:val="32"/>
          <w:highlight w:val="none"/>
          <w:lang w:val="en-US" w:eastAsia="zh-CN"/>
        </w:rPr>
        <w:t>福利彩票销售站点相关建设和营销补贴，降低彩票销售站销售成本，提高站点销售积极性</w:t>
      </w:r>
      <w:r>
        <w:rPr>
          <w:rFonts w:hint="eastAsia" w:eastAsia="仿宋_GB2312" w:cs="Times New Roman"/>
          <w:sz w:val="32"/>
          <w:szCs w:val="32"/>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内蒙古自治区财政厅关于提前下达2024年</w:t>
      </w:r>
      <w:r>
        <w:rPr>
          <w:rFonts w:hint="eastAsia" w:eastAsia="仿宋_GB2312" w:cs="Times New Roman"/>
          <w:bCs/>
          <w:color w:val="auto"/>
          <w:sz w:val="32"/>
          <w:szCs w:val="32"/>
          <w:lang w:val="en-US" w:eastAsia="zh-CN"/>
        </w:rPr>
        <w:t>盟市</w:t>
      </w:r>
      <w:r>
        <w:rPr>
          <w:rFonts w:hint="eastAsia" w:ascii="仿宋_GB2312" w:hAnsi="仿宋_GB2312" w:eastAsia="仿宋_GB2312" w:cs="仿宋_GB2312"/>
          <w:bCs/>
          <w:color w:val="auto"/>
          <w:sz w:val="32"/>
          <w:szCs w:val="32"/>
          <w:highlight w:val="none"/>
          <w:lang w:val="en-US" w:eastAsia="zh-CN"/>
        </w:rPr>
        <w:t>福利彩票销售机构基础建设及营销补贴资金的通知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lang w:val="en-US" w:eastAsia="zh-CN"/>
        </w:rPr>
        <w:t>内财综〔2023〕1894号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用于福利彩票销售站点相关建设和营销补贴</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eastAsia="仿宋_GB2312" w:cstheme="minorBidi"/>
          <w:sz w:val="32"/>
          <w:szCs w:val="32"/>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rPr>
      </w:pPr>
      <w:r>
        <w:rPr>
          <w:rFonts w:hint="eastAsia" w:ascii="Times New Roman" w:hAnsi="Times New Roman" w:eastAsia="仿宋_GB2312" w:cs="Times New Roman"/>
          <w:bCs/>
          <w:color w:val="auto"/>
          <w:sz w:val="32"/>
          <w:szCs w:val="32"/>
          <w:lang w:val="en-US" w:eastAsia="zh-CN"/>
        </w:rPr>
        <w:t>项目经费</w:t>
      </w:r>
      <w:r>
        <w:rPr>
          <w:rFonts w:hint="default" w:ascii="Times New Roman" w:hAnsi="Times New Roman" w:eastAsia="仿宋_GB2312" w:cs="Times New Roman"/>
          <w:bCs/>
          <w:color w:val="auto"/>
          <w:sz w:val="32"/>
          <w:szCs w:val="32"/>
        </w:rPr>
        <w:t>用于</w:t>
      </w:r>
      <w:r>
        <w:rPr>
          <w:rFonts w:hint="eastAsia" w:ascii="仿宋_GB2312" w:hAnsi="仿宋_GB2312" w:eastAsia="仿宋_GB2312" w:cs="仿宋_GB2312"/>
          <w:bCs/>
          <w:color w:val="auto"/>
          <w:sz w:val="32"/>
          <w:szCs w:val="32"/>
          <w:highlight w:val="none"/>
          <w:lang w:val="en-US" w:eastAsia="zh-CN"/>
        </w:rPr>
        <w:t>福利彩票销售站点相关建设和营销补贴，销售站奖励</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FF0000"/>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57万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三</w:t>
      </w: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val="en-US" w:eastAsia="zh-CN"/>
        </w:rPr>
        <w:t>提前下达2024年盟市</w:t>
      </w:r>
      <w:r>
        <w:rPr>
          <w:rFonts w:hint="eastAsia" w:ascii="仿宋_GB2312" w:hAnsi="仿宋_GB2312" w:eastAsia="仿宋_GB2312" w:cs="仿宋_GB2312"/>
          <w:bCs/>
          <w:color w:val="auto"/>
          <w:sz w:val="32"/>
          <w:szCs w:val="32"/>
          <w:highlight w:val="none"/>
          <w:lang w:val="en-US" w:eastAsia="zh-CN"/>
        </w:rPr>
        <w:t>福利彩票销售机构业务费</w:t>
      </w:r>
      <w:r>
        <w:rPr>
          <w:rFonts w:hint="eastAsia" w:eastAsia="仿宋_GB2312" w:cs="Times New Roman"/>
          <w:bCs/>
          <w:color w:val="auto"/>
          <w:sz w:val="32"/>
          <w:szCs w:val="32"/>
          <w:highlight w:val="none"/>
          <w:lang w:val="en-US" w:eastAsia="zh-CN"/>
        </w:rPr>
        <w:t>（内财综〔2023〕1901号）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支付单位业务运行支出和发放聘用人员工资，缴纳聘用人员住房公积金及社保费</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内蒙古自治区财政厅关于提前下达2024年</w:t>
      </w:r>
      <w:r>
        <w:rPr>
          <w:rFonts w:hint="eastAsia" w:eastAsia="仿宋_GB2312" w:cs="Times New Roman"/>
          <w:bCs/>
          <w:color w:val="auto"/>
          <w:sz w:val="32"/>
          <w:szCs w:val="32"/>
          <w:highlight w:val="none"/>
          <w:lang w:val="en-US" w:eastAsia="zh-CN"/>
        </w:rPr>
        <w:t>盟市</w:t>
      </w:r>
      <w:r>
        <w:rPr>
          <w:rFonts w:hint="eastAsia" w:ascii="仿宋_GB2312" w:hAnsi="仿宋_GB2312" w:eastAsia="仿宋_GB2312" w:cs="仿宋_GB2312"/>
          <w:bCs/>
          <w:color w:val="auto"/>
          <w:sz w:val="32"/>
          <w:szCs w:val="32"/>
          <w:highlight w:val="none"/>
          <w:lang w:val="en-US" w:eastAsia="zh-CN"/>
        </w:rPr>
        <w:t>福利彩票销售机构业务费的通知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内财综〔2023〕1901号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sz w:val="32"/>
          <w:szCs w:val="32"/>
          <w:highlight w:val="none"/>
          <w:lang w:val="en-US" w:eastAsia="zh-CN"/>
        </w:rPr>
        <w:t>下达我盟福彩机构业务费，保障机构正常运转</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支付单位业务运行支出和发放在职人员、聘用人员、退休人员工资及缴纳职工住房公积金及社保费，2024年度营销宣传经费。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336</w:t>
      </w:r>
      <w:r>
        <w:rPr>
          <w:rFonts w:hint="eastAsia" w:eastAsia="仿宋_GB2312" w:cs="Times New Roman"/>
          <w:bCs/>
          <w:color w:val="auto"/>
          <w:sz w:val="32"/>
          <w:szCs w:val="32"/>
          <w:highlight w:val="none"/>
          <w:lang w:val="en-US" w:eastAsia="zh-CN"/>
        </w:rPr>
        <w:t>万</w:t>
      </w:r>
      <w:r>
        <w:rPr>
          <w:rFonts w:hint="default" w:ascii="Times New Roman" w:hAnsi="Times New Roman" w:eastAsia="仿宋_GB2312" w:cs="Times New Roman"/>
          <w:bCs/>
          <w:color w:val="auto"/>
          <w:sz w:val="32"/>
          <w:szCs w:val="32"/>
          <w:highlight w:val="none"/>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四</w:t>
      </w: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val="en-US" w:eastAsia="zh-CN"/>
        </w:rPr>
        <w:t>23年</w:t>
      </w:r>
      <w:r>
        <w:rPr>
          <w:rFonts w:hint="eastAsia" w:ascii="仿宋_GB2312" w:hAnsi="仿宋_GB2312" w:eastAsia="仿宋_GB2312" w:cs="仿宋_GB2312"/>
          <w:bCs/>
          <w:color w:val="auto"/>
          <w:sz w:val="32"/>
          <w:szCs w:val="32"/>
          <w:highlight w:val="none"/>
          <w:lang w:val="en-US" w:eastAsia="zh-CN"/>
        </w:rPr>
        <w:t>福利彩票销售机构业务费</w:t>
      </w:r>
      <w:r>
        <w:rPr>
          <w:rFonts w:hint="eastAsia" w:eastAsia="仿宋_GB2312" w:cs="Times New Roman"/>
          <w:bCs/>
          <w:color w:val="auto"/>
          <w:sz w:val="32"/>
          <w:szCs w:val="32"/>
          <w:highlight w:val="none"/>
          <w:lang w:val="en-US" w:eastAsia="zh-CN"/>
        </w:rPr>
        <w:t>（内财综〔2022〕1674号）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lang w:val="en-US" w:eastAsia="zh-CN"/>
        </w:rPr>
        <w:t>支付单位业务运行支出和在职人员工资</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内蒙古自治区财政厅关于提前下达2023年福利彩票销售机构业务费的通知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内财综〔2022〕1674号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sz w:val="32"/>
          <w:szCs w:val="32"/>
          <w:highlight w:val="none"/>
          <w:lang w:val="en-US" w:eastAsia="zh-CN"/>
        </w:rPr>
        <w:t>下达我盟福彩机构业务费，保障机构正常运转</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yellow"/>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支付单位业务运行支出和在职人员工资。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25.79</w:t>
      </w:r>
      <w:r>
        <w:rPr>
          <w:rFonts w:hint="eastAsia" w:eastAsia="仿宋_GB2312" w:cs="Times New Roman"/>
          <w:bCs/>
          <w:color w:val="auto"/>
          <w:sz w:val="32"/>
          <w:szCs w:val="32"/>
          <w:highlight w:val="none"/>
          <w:lang w:val="en-US" w:eastAsia="zh-CN"/>
        </w:rPr>
        <w:t>万</w:t>
      </w:r>
      <w:r>
        <w:rPr>
          <w:rFonts w:hint="default" w:ascii="Times New Roman" w:hAnsi="Times New Roman" w:eastAsia="仿宋_GB2312" w:cs="Times New Roman"/>
          <w:bCs/>
          <w:color w:val="auto"/>
          <w:sz w:val="32"/>
          <w:szCs w:val="32"/>
          <w:highlight w:val="none"/>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五</w:t>
      </w: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20</w:t>
      </w:r>
      <w:r>
        <w:rPr>
          <w:rFonts w:hint="eastAsia" w:eastAsia="仿宋_GB2312" w:cs="Times New Roman"/>
          <w:bCs/>
          <w:color w:val="auto"/>
          <w:sz w:val="32"/>
          <w:szCs w:val="32"/>
          <w:highlight w:val="none"/>
          <w:lang w:val="en-US" w:eastAsia="zh-CN"/>
        </w:rPr>
        <w:t>23年</w:t>
      </w:r>
      <w:r>
        <w:rPr>
          <w:rFonts w:hint="eastAsia" w:ascii="仿宋_GB2312" w:hAnsi="仿宋_GB2312" w:eastAsia="仿宋_GB2312" w:cs="仿宋_GB2312"/>
          <w:bCs/>
          <w:color w:val="auto"/>
          <w:sz w:val="32"/>
          <w:szCs w:val="32"/>
          <w:highlight w:val="none"/>
          <w:lang w:val="en-US" w:eastAsia="zh-CN"/>
        </w:rPr>
        <w:t>福利彩票销售机构</w:t>
      </w:r>
      <w:r>
        <w:rPr>
          <w:rFonts w:hint="eastAsia" w:ascii="仿宋_GB2312" w:hAnsi="仿宋_GB2312" w:eastAsia="仿宋_GB2312" w:cs="仿宋_GB2312"/>
          <w:bCs/>
          <w:sz w:val="32"/>
          <w:szCs w:val="32"/>
          <w:highlight w:val="none"/>
          <w:lang w:val="en-US" w:eastAsia="zh-CN"/>
        </w:rPr>
        <w:t>通讯线租用补贴资金</w:t>
      </w:r>
      <w:r>
        <w:rPr>
          <w:rFonts w:hint="eastAsia" w:eastAsia="仿宋_GB2312" w:cs="Times New Roman"/>
          <w:bCs/>
          <w:color w:val="auto"/>
          <w:sz w:val="32"/>
          <w:szCs w:val="32"/>
          <w:highlight w:val="none"/>
          <w:lang w:val="en-US" w:eastAsia="zh-CN"/>
        </w:rPr>
        <w:t>（内财综〔2023〕485号）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ascii="仿宋_GB2312" w:hAnsi="仿宋_GB2312" w:eastAsia="仿宋_GB2312" w:cs="仿宋_GB2312"/>
          <w:bCs/>
          <w:sz w:val="32"/>
          <w:szCs w:val="32"/>
          <w:highlight w:val="none"/>
        </w:rPr>
        <w:t>为基层彩票销售网点缴纳</w:t>
      </w:r>
      <w:r>
        <w:rPr>
          <w:rFonts w:hint="eastAsia" w:ascii="仿宋_GB2312" w:hAnsi="仿宋_GB2312" w:eastAsia="仿宋_GB2312" w:cs="仿宋_GB2312"/>
          <w:bCs/>
          <w:sz w:val="32"/>
          <w:szCs w:val="32"/>
          <w:highlight w:val="none"/>
          <w:lang w:val="en-US" w:eastAsia="zh-CN"/>
        </w:rPr>
        <w:t>线路通讯费</w:t>
      </w:r>
      <w:r>
        <w:rPr>
          <w:rFonts w:hint="eastAsia" w:eastAsia="仿宋_GB2312" w:cs="Times New Roman"/>
          <w:color w:val="auto"/>
          <w:sz w:val="32"/>
          <w:szCs w:val="32"/>
          <w:highlight w:val="none"/>
          <w:lang w:val="en-US"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color w:val="auto"/>
          <w:sz w:val="32"/>
          <w:szCs w:val="32"/>
          <w:highlight w:val="none"/>
        </w:rPr>
        <w:t>根据《</w:t>
      </w:r>
      <w:r>
        <w:rPr>
          <w:rFonts w:hint="eastAsia" w:ascii="仿宋_GB2312" w:hAnsi="仿宋_GB2312" w:eastAsia="仿宋_GB2312" w:cs="仿宋_GB2312"/>
          <w:bCs/>
          <w:color w:val="auto"/>
          <w:sz w:val="32"/>
          <w:szCs w:val="32"/>
          <w:highlight w:val="none"/>
          <w:lang w:val="en-US" w:eastAsia="zh-CN"/>
        </w:rPr>
        <w:t>内蒙古自治区财政厅关于下达2023年福利彩票销售机构</w:t>
      </w:r>
      <w:r>
        <w:rPr>
          <w:rFonts w:hint="eastAsia" w:ascii="仿宋_GB2312" w:hAnsi="仿宋_GB2312" w:eastAsia="仿宋_GB2312" w:cs="仿宋_GB2312"/>
          <w:bCs/>
          <w:sz w:val="32"/>
          <w:szCs w:val="32"/>
          <w:highlight w:val="none"/>
          <w:lang w:val="en-US" w:eastAsia="zh-CN"/>
        </w:rPr>
        <w:t>通讯线租用补贴资金</w:t>
      </w:r>
      <w:r>
        <w:rPr>
          <w:rFonts w:hint="eastAsia" w:ascii="仿宋_GB2312" w:hAnsi="仿宋_GB2312" w:eastAsia="仿宋_GB2312" w:cs="仿宋_GB2312"/>
          <w:bCs/>
          <w:color w:val="auto"/>
          <w:sz w:val="32"/>
          <w:szCs w:val="32"/>
          <w:highlight w:val="none"/>
          <w:lang w:val="en-US" w:eastAsia="zh-CN"/>
        </w:rPr>
        <w:t>的通知</w:t>
      </w:r>
      <w:r>
        <w:rPr>
          <w:rFonts w:hint="eastAsia" w:ascii="仿宋_GB2312" w:hAnsi="仿宋_GB2312" w:eastAsia="仿宋_GB2312" w:cs="仿宋_GB2312"/>
          <w:bCs/>
          <w:color w:val="auto"/>
          <w:sz w:val="32"/>
          <w:szCs w:val="32"/>
          <w:highlight w:val="none"/>
        </w:rPr>
        <w:t>》（</w:t>
      </w:r>
      <w:r>
        <w:rPr>
          <w:rFonts w:hint="eastAsia" w:eastAsia="仿宋_GB2312" w:cs="Times New Roman"/>
          <w:bCs/>
          <w:color w:val="auto"/>
          <w:sz w:val="32"/>
          <w:szCs w:val="32"/>
          <w:highlight w:val="none"/>
          <w:lang w:val="en-US" w:eastAsia="zh-CN"/>
        </w:rPr>
        <w:t>内财综〔2023〕485号</w:t>
      </w:r>
      <w:r>
        <w:rPr>
          <w:rFonts w:hint="eastAsia" w:ascii="仿宋_GB2312" w:hAnsi="仿宋_GB2312" w:eastAsia="仿宋_GB2312" w:cs="仿宋_GB2312"/>
          <w:bCs/>
          <w:color w:val="auto"/>
          <w:sz w:val="32"/>
          <w:szCs w:val="32"/>
          <w:highlight w:val="none"/>
        </w:rPr>
        <w:t>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sz w:val="32"/>
          <w:szCs w:val="32"/>
          <w:highlight w:val="none"/>
          <w:lang w:val="en-US" w:eastAsia="zh-CN"/>
        </w:rPr>
        <w:t>用于缴纳基层彩票销售站线路通讯费</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rPr>
        <w:t>缴纳基层彩票销售网点</w:t>
      </w:r>
      <w:r>
        <w:rPr>
          <w:rFonts w:hint="eastAsia" w:ascii="仿宋_GB2312" w:hAnsi="仿宋_GB2312" w:eastAsia="仿宋_GB2312" w:cs="仿宋_GB2312"/>
          <w:bCs/>
          <w:sz w:val="32"/>
          <w:szCs w:val="32"/>
          <w:highlight w:val="none"/>
          <w:lang w:val="en-US" w:eastAsia="zh-CN"/>
        </w:rPr>
        <w:t>线路通讯</w:t>
      </w:r>
      <w:r>
        <w:rPr>
          <w:rFonts w:hint="eastAsia" w:ascii="仿宋_GB2312" w:hAnsi="仿宋_GB2312" w:eastAsia="仿宋_GB2312" w:cs="仿宋_GB2312"/>
          <w:bCs/>
          <w:sz w:val="32"/>
          <w:szCs w:val="32"/>
          <w:highlight w:val="none"/>
        </w:rPr>
        <w:t>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1.77</w:t>
      </w:r>
      <w:r>
        <w:rPr>
          <w:rFonts w:hint="eastAsia" w:eastAsia="仿宋_GB2312" w:cs="Times New Roman"/>
          <w:bCs/>
          <w:color w:val="auto"/>
          <w:sz w:val="32"/>
          <w:szCs w:val="32"/>
          <w:highlight w:val="none"/>
          <w:lang w:val="en-US" w:eastAsia="zh-CN"/>
        </w:rPr>
        <w:t>万</w:t>
      </w:r>
      <w:r>
        <w:rPr>
          <w:rFonts w:hint="default" w:ascii="Times New Roman" w:hAnsi="Times New Roman" w:eastAsia="仿宋_GB2312" w:cs="Times New Roman"/>
          <w:bCs/>
          <w:color w:val="auto"/>
          <w:sz w:val="32"/>
          <w:szCs w:val="32"/>
          <w:highlight w:val="none"/>
        </w:rPr>
        <w:t>元。</w:t>
      </w:r>
    </w:p>
    <w:p>
      <w:pPr>
        <w:pageBreakBefore w:val="0"/>
        <w:numPr>
          <w:ilvl w:val="0"/>
          <w:numId w:val="3"/>
        </w:numPr>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福利彩票销售机构业务费</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1.项目概述 </w:t>
      </w:r>
    </w:p>
    <w:p>
      <w:pPr>
        <w:pBdr>
          <w:bottom w:val="single" w:color="FFFFFF" w:sz="4" w:space="30"/>
        </w:pBdr>
        <w:snapToGrid w:val="0"/>
        <w:spacing w:line="60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本项目用于</w:t>
      </w:r>
      <w:r>
        <w:rPr>
          <w:rFonts w:hint="eastAsia" w:ascii="仿宋_GB2312" w:hAnsi="仿宋_GB2312" w:eastAsia="仿宋_GB2312" w:cs="仿宋_GB2312"/>
          <w:bCs/>
          <w:sz w:val="32"/>
          <w:szCs w:val="32"/>
          <w:highlight w:val="none"/>
          <w:lang w:val="en-US" w:eastAsia="zh-CN"/>
        </w:rPr>
        <w:t>发放在职人员工资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根据《内蒙古自治区财政厅关于下达2022年福利彩票销售机构业务费（第三批）的通知》（内财综〔2022〕1690号）文件，下达我盟福彩机构业务费，主要用于支付人员工资，保障职工基本权益，提高工作积极性</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Times New Roman" w:hAnsi="Times New Roman" w:eastAsia="仿宋_GB2312" w:cs="Times New Roman"/>
          <w:bCs/>
          <w:color w:val="auto"/>
          <w:sz w:val="32"/>
          <w:szCs w:val="32"/>
          <w:highlight w:val="none"/>
          <w:lang w:val="en-US" w:eastAsia="zh-CN"/>
        </w:rPr>
        <w:t>项目经费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按月发放职工工资，按期缴纳职工社保费</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lang w:val="en-US"/>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0.71</w:t>
      </w:r>
      <w:r>
        <w:rPr>
          <w:rFonts w:hint="eastAsia" w:eastAsia="仿宋_GB2312" w:cs="Times New Roman"/>
          <w:bCs/>
          <w:color w:val="auto"/>
          <w:sz w:val="32"/>
          <w:szCs w:val="32"/>
          <w:highlight w:val="none"/>
          <w:lang w:val="en-US" w:eastAsia="zh-CN"/>
        </w:rPr>
        <w:t>万</w:t>
      </w:r>
      <w:r>
        <w:rPr>
          <w:rFonts w:hint="default" w:ascii="Times New Roman" w:hAnsi="Times New Roman" w:eastAsia="仿宋_GB2312" w:cs="Times New Roman"/>
          <w:bCs/>
          <w:color w:val="auto"/>
          <w:sz w:val="32"/>
          <w:szCs w:val="32"/>
          <w:highlight w:val="none"/>
        </w:rPr>
        <w:t>元。</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（七）2023年福利彩票销售机构业务费（第一批）（内财综〔2023〕1099号）</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1.项目概述 </w:t>
      </w:r>
    </w:p>
    <w:p>
      <w:pPr>
        <w:pBdr>
          <w:bottom w:val="single" w:color="FFFFFF" w:sz="4" w:space="30"/>
        </w:pBdr>
        <w:snapToGrid w:val="0"/>
        <w:spacing w:line="600" w:lineRule="exact"/>
        <w:ind w:firstLine="640" w:firstLineChars="200"/>
        <w:rPr>
          <w:rFonts w:hint="default" w:ascii="仿宋_GB2312" w:hAnsi="仿宋_GB2312" w:eastAsia="仿宋_GB2312" w:cs="仿宋_GB2312"/>
          <w:bCs/>
          <w:sz w:val="32"/>
          <w:szCs w:val="32"/>
          <w:highlight w:val="yellow"/>
          <w:lang w:val="en-US" w:eastAsia="zh-CN"/>
        </w:rPr>
      </w:pPr>
      <w:r>
        <w:rPr>
          <w:rFonts w:hint="eastAsia" w:ascii="仿宋_GB2312" w:hAnsi="仿宋_GB2312" w:eastAsia="仿宋_GB2312" w:cs="仿宋_GB2312"/>
          <w:bCs/>
          <w:sz w:val="32"/>
          <w:szCs w:val="32"/>
          <w:highlight w:val="none"/>
        </w:rPr>
        <w:t>本项目用于</w:t>
      </w:r>
      <w:r>
        <w:rPr>
          <w:rFonts w:hint="eastAsia" w:ascii="仿宋_GB2312" w:hAnsi="仿宋_GB2312" w:eastAsia="仿宋_GB2312" w:cs="仿宋_GB2312"/>
          <w:bCs/>
          <w:sz w:val="32"/>
          <w:szCs w:val="32"/>
          <w:highlight w:val="none"/>
          <w:lang w:val="en-US" w:eastAsia="zh-CN"/>
        </w:rPr>
        <w:t>支付单位业务运行支出、发放在职人员工资、发放聘用人员工资。</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pPr>
        <w:pBdr>
          <w:bottom w:val="single" w:color="FFFFFF" w:sz="4" w:space="30"/>
        </w:pBdr>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根据《内蒙古自治区财政厅关于下达2023年（第一批）福利彩票销售机构业务费的通知》（内财综〔2023〕1099号）文件，下达我盟福彩机构业务费，主要用于支付人员工资，保障职工基本权益，提高工作积极性，保障机构正常运转</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heme="minorBidi"/>
          <w:color w:val="auto"/>
          <w:sz w:val="32"/>
          <w:szCs w:val="32"/>
          <w:highlight w:val="none"/>
          <w:lang w:val="en-US" w:eastAsia="zh-CN"/>
        </w:rPr>
        <w:t>锡林郭勒盟福利彩票销售服务中心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Times New Roman" w:hAnsi="Times New Roman" w:eastAsia="仿宋_GB2312" w:cs="Times New Roman"/>
          <w:bCs/>
          <w:color w:val="auto"/>
          <w:sz w:val="32"/>
          <w:szCs w:val="32"/>
          <w:highlight w:val="none"/>
          <w:lang w:val="en-US" w:eastAsia="zh-CN"/>
        </w:rPr>
        <w:t>项目经费</w:t>
      </w:r>
      <w:r>
        <w:rPr>
          <w:rFonts w:hint="eastAsia" w:ascii="仿宋_GB2312" w:hAnsi="仿宋_GB2312" w:eastAsia="仿宋_GB2312" w:cs="仿宋_GB2312"/>
          <w:bCs/>
          <w:sz w:val="32"/>
          <w:szCs w:val="32"/>
          <w:highlight w:val="none"/>
          <w:lang w:val="en-US" w:eastAsia="zh-CN"/>
        </w:rPr>
        <w:t>邮电费用于缴纳单位通讯费、邮寄费，在职人员经费</w:t>
      </w:r>
      <w:r>
        <w:rPr>
          <w:rFonts w:hint="default" w:ascii="Times New Roman" w:hAnsi="Times New Roman" w:eastAsia="仿宋_GB2312" w:cs="Times New Roman"/>
          <w:bCs/>
          <w:color w:val="auto"/>
          <w:sz w:val="32"/>
          <w:szCs w:val="32"/>
          <w:highlight w:val="none"/>
        </w:rPr>
        <w:t>用于</w:t>
      </w:r>
      <w:r>
        <w:rPr>
          <w:rFonts w:hint="eastAsia" w:ascii="仿宋_GB2312" w:hAnsi="仿宋_GB2312" w:eastAsia="仿宋_GB2312" w:cs="仿宋_GB2312"/>
          <w:bCs/>
          <w:sz w:val="32"/>
          <w:szCs w:val="32"/>
          <w:highlight w:val="none"/>
          <w:lang w:val="en-US" w:eastAsia="zh-CN"/>
        </w:rPr>
        <w:t>按月发放职工工资，按期缴纳职工社保费</w:t>
      </w:r>
      <w:r>
        <w:rPr>
          <w:rFonts w:hint="eastAsia" w:ascii="仿宋_GB2312" w:hAnsi="仿宋_GB2312" w:eastAsia="仿宋_GB2312" w:cs="仿宋_GB2312"/>
          <w:bCs/>
          <w:sz w:val="32"/>
          <w:szCs w:val="32"/>
          <w:highlight w:val="none"/>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highlight w:val="none"/>
          <w:lang w:val="en-US"/>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6.68</w:t>
      </w:r>
      <w:r>
        <w:rPr>
          <w:rFonts w:hint="eastAsia" w:eastAsia="仿宋_GB2312" w:cs="Times New Roman"/>
          <w:bCs/>
          <w:color w:val="auto"/>
          <w:sz w:val="32"/>
          <w:szCs w:val="32"/>
          <w:highlight w:val="none"/>
          <w:lang w:val="en-US" w:eastAsia="zh-CN"/>
        </w:rPr>
        <w:t>万</w:t>
      </w:r>
      <w:r>
        <w:rPr>
          <w:rFonts w:hint="default" w:ascii="Times New Roman" w:hAnsi="Times New Roman" w:eastAsia="仿宋_GB2312" w:cs="Times New Roman"/>
          <w:bCs/>
          <w:color w:val="auto"/>
          <w:sz w:val="32"/>
          <w:szCs w:val="32"/>
          <w:highlight w:val="none"/>
        </w:rPr>
        <w:t>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heme="minorBidi"/>
          <w:color w:val="auto"/>
          <w:sz w:val="32"/>
          <w:szCs w:val="32"/>
          <w:highlight w:val="none"/>
          <w:lang w:val="en-US" w:eastAsia="zh-CN"/>
        </w:rPr>
        <w:t>2024年锡林郭勒盟福利彩票销售服务中心</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本年度无一般公共预算</w:t>
      </w:r>
      <w:r>
        <w:rPr>
          <w:rFonts w:hint="default" w:ascii="Times New Roman" w:hAnsi="Times New Roman" w:eastAsia="仿宋_GB2312" w:cs="Times New Roman"/>
          <w:sz w:val="32"/>
          <w:szCs w:val="32"/>
        </w:rPr>
        <w:t>机关运行</w:t>
      </w:r>
      <w:r>
        <w:rPr>
          <w:rFonts w:hint="eastAsia" w:ascii="Times New Roman" w:hAnsi="Times New Roman" w:eastAsia="仿宋_GB2312" w:cs="Times New Roman"/>
          <w:sz w:val="32"/>
          <w:szCs w:val="32"/>
          <w:lang w:val="en-US" w:eastAsia="zh-CN"/>
        </w:rPr>
        <w:t>经费</w:t>
      </w:r>
      <w:r>
        <w:rPr>
          <w:rFonts w:hint="eastAsia" w:eastAsia="仿宋_GB2312"/>
          <w:sz w:val="32"/>
          <w:szCs w:val="32"/>
        </w:rPr>
        <w:t>支出</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2024</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7</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7</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479.97</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5"/>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孙雪姣</w:t>
      </w:r>
      <w:r>
        <w:rPr>
          <w:rFonts w:hint="eastAsia" w:ascii="仿宋_GB2312" w:hAnsi="仿宋_GB2312" w:eastAsia="仿宋_GB2312" w:cs="仿宋_GB2312"/>
          <w:sz w:val="32"/>
          <w:szCs w:val="32"/>
        </w:rPr>
        <w:t xml:space="preserve">               联系电话：0479-8269289</w:t>
      </w:r>
    </w:p>
    <w:p>
      <w:pPr>
        <w:pStyle w:val="5"/>
        <w:pageBreakBefore w:val="0"/>
        <w:numPr>
          <w:ilvl w:val="0"/>
          <w:numId w:val="4"/>
        </w:numPr>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val="en-US" w:eastAsia="zh-CN"/>
        </w:rPr>
        <w:t>锡林郭勒盟福利彩票销售服务中心</w:t>
      </w:r>
    </w:p>
    <w:p>
      <w:pPr>
        <w:pStyle w:val="5"/>
        <w:pageBreakBefore w:val="0"/>
        <w:numPr>
          <w:ilvl w:val="0"/>
          <w:numId w:val="0"/>
        </w:numPr>
        <w:tabs>
          <w:tab w:val="left" w:pos="4392"/>
        </w:tabs>
        <w:kinsoku/>
        <w:wordWrap/>
        <w:overflowPunct/>
        <w:topLinePunct w:val="0"/>
        <w:bidi w:val="0"/>
        <w:spacing w:before="0" w:after="0" w:line="600" w:lineRule="exact"/>
        <w:ind w:firstLine="4320" w:firstLineChars="1200"/>
        <w:jc w:val="both"/>
        <w:rPr>
          <w:sz w:val="23"/>
        </w:rPr>
      </w:pPr>
      <w:r>
        <w:rPr>
          <w:rFonts w:hint="eastAsia" w:ascii="方正小标宋简体" w:hAnsi="方正小标宋简体" w:eastAsia="方正小标宋简体" w:cs="方正小标宋简体"/>
          <w:b w:val="0"/>
          <w:bCs w:val="0"/>
          <w:sz w:val="36"/>
          <w:szCs w:val="36"/>
        </w:rPr>
        <w:t>预算表</w:t>
      </w: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p>
      <w:pPr>
        <w:spacing w:line="600" w:lineRule="exact"/>
        <w:ind w:firstLine="300" w:firstLineChars="100"/>
        <w:rPr>
          <w:rFonts w:hint="default" w:eastAsia="仿宋_GB2312" w:cstheme="minorBidi"/>
          <w:sz w:val="30"/>
          <w:szCs w:val="30"/>
          <w:lang w:val="en-US" w:eastAsia="zh-CN"/>
        </w:rPr>
      </w:pPr>
      <w:r>
        <w:rPr>
          <w:rFonts w:hint="eastAsia" w:eastAsia="仿宋_GB2312" w:cstheme="minorBidi"/>
          <w:sz w:val="30"/>
          <w:szCs w:val="30"/>
          <w:lang w:val="en-US" w:eastAsia="zh-CN"/>
        </w:rPr>
        <w:t>表1</w:t>
      </w:r>
    </w:p>
    <w:tbl>
      <w:tblPr>
        <w:tblStyle w:val="20"/>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5"/>
        <w:gridCol w:w="1553"/>
        <w:gridCol w:w="3140"/>
        <w:gridCol w:w="1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trPr>
        <w:tc>
          <w:tcPr>
            <w:tcW w:w="9700" w:type="dxa"/>
            <w:gridSpan w:val="4"/>
            <w:tcBorders>
              <w:top w:val="nil"/>
              <w:left w:val="nil"/>
              <w:bottom w:val="nil"/>
              <w:right w:val="nil"/>
            </w:tcBorders>
            <w:shd w:val="clear" w:color="auto" w:fill="auto"/>
            <w:vAlign w:val="center"/>
          </w:tcPr>
          <w:p>
            <w:pPr>
              <w:keepNext w:val="0"/>
              <w:keepLines w:val="0"/>
              <w:widowControl/>
              <w:suppressLineNumbers w:val="0"/>
              <w:tabs>
                <w:tab w:val="left" w:pos="724"/>
                <w:tab w:val="center" w:pos="6312"/>
              </w:tabs>
              <w:jc w:val="left"/>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ab/>
            </w:r>
            <w:r>
              <w:rPr>
                <w:rFonts w:hint="eastAsia" w:ascii="黑体" w:hAnsi="宋体" w:eastAsia="黑体" w:cs="黑体"/>
                <w:i w:val="0"/>
                <w:iCs w:val="0"/>
                <w:color w:val="000000"/>
                <w:kern w:val="0"/>
                <w:sz w:val="34"/>
                <w:szCs w:val="34"/>
                <w:u w:val="none"/>
                <w:lang w:val="en-US" w:eastAsia="zh-CN" w:bidi="ar"/>
              </w:rPr>
              <w:t xml:space="preserve">                     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0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1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4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5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445</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四、财政专户管理资金收入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五、事业收入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六、事业单位经营收入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七、上级补助收入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七、文化体育旅游与传媒支出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八、附属单位上缴收入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九、其他收入</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十二、城市社区支出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二十六、转移性支付</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三十、抗疫特别国债还本支出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三十一、与中央财政往来性支出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445.00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上年结转结余</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34.97</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年终结转结余</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479.97</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479.97</w:t>
            </w:r>
          </w:p>
        </w:tc>
      </w:tr>
    </w:tbl>
    <w:p>
      <w:pPr>
        <w:spacing w:line="600" w:lineRule="exact"/>
        <w:rPr>
          <w:rFonts w:hint="eastAsia" w:ascii="宋体" w:hAnsi="宋体" w:eastAsia="宋体" w:cs="宋体"/>
          <w:b/>
          <w:bCs/>
          <w:i w:val="0"/>
          <w:iCs w:val="0"/>
          <w:color w:val="000000"/>
          <w:kern w:val="0"/>
          <w:sz w:val="24"/>
          <w:szCs w:val="24"/>
          <w:u w:val="none"/>
          <w:lang w:val="en-US" w:eastAsia="zh-CN" w:bidi="ar"/>
        </w:rPr>
        <w:sectPr>
          <w:pgSz w:w="11910" w:h="16840"/>
          <w:pgMar w:top="1580" w:right="1080" w:bottom="280" w:left="1080" w:header="720" w:footer="720" w:gutter="0"/>
          <w:pgNumType w:fmt="numberInDash"/>
          <w:cols w:space="720" w:num="1"/>
          <w:docGrid w:linePitch="286" w:charSpace="0"/>
        </w:sectPr>
      </w:pP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1316"/>
        <w:gridCol w:w="882"/>
        <w:gridCol w:w="882"/>
        <w:gridCol w:w="659"/>
        <w:gridCol w:w="1053"/>
        <w:gridCol w:w="740"/>
        <w:gridCol w:w="740"/>
        <w:gridCol w:w="578"/>
        <w:gridCol w:w="740"/>
        <w:gridCol w:w="659"/>
        <w:gridCol w:w="740"/>
        <w:gridCol w:w="578"/>
        <w:gridCol w:w="771"/>
        <w:gridCol w:w="659"/>
        <w:gridCol w:w="961"/>
        <w:gridCol w:w="740"/>
        <w:gridCol w:w="740"/>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表2</w:t>
            </w: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收入总表</w:t>
            </w:r>
          </w:p>
        </w:tc>
        <w:tc>
          <w:tcPr>
            <w:tcW w:w="0" w:type="auto"/>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9"/>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bl>
    <w:p>
      <w:pPr>
        <w:pageBreakBefore w:val="0"/>
        <w:kinsoku/>
        <w:wordWrap/>
        <w:overflowPunct/>
        <w:topLinePunct w:val="0"/>
        <w:bidi w:val="0"/>
        <w:spacing w:line="600" w:lineRule="exact"/>
        <w:rPr>
          <w:rFonts w:eastAsia="仿宋_GB2312" w:cstheme="minorBidi"/>
          <w:sz w:val="30"/>
          <w:szCs w:val="30"/>
        </w:rPr>
      </w:pPr>
    </w:p>
    <w:p>
      <w:pPr>
        <w:pStyle w:val="7"/>
        <w:rPr>
          <w:rFonts w:eastAsia="仿宋_GB2312" w:cstheme="minorBidi"/>
          <w:sz w:val="30"/>
          <w:szCs w:val="30"/>
        </w:rPr>
      </w:pPr>
    </w:p>
    <w:p>
      <w:pPr>
        <w:pStyle w:val="7"/>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表3</w:t>
      </w:r>
    </w:p>
    <w:tbl>
      <w:tblPr>
        <w:tblStyle w:val="20"/>
        <w:tblpPr w:leftFromText="180" w:rightFromText="180" w:vertAnchor="text" w:horzAnchor="page" w:tblpX="871" w:tblpY="114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3736"/>
        <w:gridCol w:w="942"/>
        <w:gridCol w:w="1180"/>
        <w:gridCol w:w="1180"/>
        <w:gridCol w:w="2144"/>
        <w:gridCol w:w="1662"/>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5"/>
            <w:tcBorders>
              <w:top w:val="nil"/>
              <w:left w:val="nil"/>
              <w:bottom w:val="nil"/>
              <w:right w:val="nil"/>
            </w:tcBorders>
            <w:shd w:val="clear" w:color="auto" w:fill="auto"/>
            <w:vAlign w:val="center"/>
          </w:tcPr>
          <w:p>
            <w:pPr>
              <w:rPr>
                <w:rFonts w:hint="eastAsia" w:ascii="Hiragino Sans GB" w:hAnsi="Hiragino Sans GB" w:eastAsia="Hiragino Sans GB" w:cs="Hiragino Sans GB"/>
                <w:i w:val="0"/>
                <w:iCs w:val="0"/>
                <w:color w:val="000000"/>
                <w:sz w:val="22"/>
                <w:szCs w:val="22"/>
                <w:u w:val="none"/>
              </w:rPr>
            </w:pPr>
          </w:p>
        </w:tc>
        <w:tc>
          <w:tcPr>
            <w:tcW w:w="0" w:type="auto"/>
            <w:tcBorders>
              <w:top w:val="nil"/>
              <w:left w:val="nil"/>
              <w:bottom w:val="nil"/>
              <w:right w:val="nil"/>
            </w:tcBorders>
            <w:shd w:val="clear" w:color="auto" w:fill="auto"/>
            <w:vAlign w:val="center"/>
          </w:tcPr>
          <w:p>
            <w:pPr>
              <w:jc w:val="right"/>
              <w:rPr>
                <w:rFonts w:hint="default" w:ascii="Hiragino Sans GB" w:hAnsi="Hiragino Sans GB" w:eastAsia="Hiragino Sans GB" w:cs="Hiragino Sans GB"/>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Hiragino Sans GB" w:hAnsi="Hiragino Sans GB" w:eastAsia="Hiragino Sans GB" w:cs="Hiragino Sans GB"/>
                <w:i w:val="0"/>
                <w:iCs w:val="0"/>
                <w:color w:val="000000"/>
                <w:sz w:val="22"/>
                <w:szCs w:val="22"/>
                <w:u w:val="none"/>
              </w:rPr>
            </w:pPr>
            <w:r>
              <w:rPr>
                <w:rFonts w:hint="default" w:ascii="Hiragino Sans GB" w:hAnsi="Hiragino Sans GB" w:eastAsia="Hiragino Sans GB" w:cs="Hiragino Sans GB"/>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上缴上级支出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彩票发行销售机构业务费安排的支出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福利彩票销售机构的业务费支出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427.97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427.97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2290808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彩票市场调控资金支出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pStyle w:val="7"/>
        <w:rPr>
          <w:rFonts w:hint="default"/>
          <w:lang w:val="en-US" w:eastAsia="zh-CN"/>
        </w:rPr>
      </w:pPr>
    </w:p>
    <w:p>
      <w:pPr>
        <w:rPr>
          <w:rFonts w:hint="default"/>
          <w:lang w:val="en-US" w:eastAsia="zh-CN"/>
        </w:rPr>
      </w:pPr>
    </w:p>
    <w:p>
      <w:pPr>
        <w:pStyle w:val="7"/>
        <w:rPr>
          <w:rFonts w:hint="default"/>
          <w:lang w:val="en-US" w:eastAsia="zh-CN"/>
        </w:rPr>
        <w:sectPr>
          <w:pgSz w:w="16840" w:h="11910" w:orient="landscape"/>
          <w:pgMar w:top="1080" w:right="1580" w:bottom="1080" w:left="280" w:header="720" w:footer="720" w:gutter="0"/>
          <w:pgNumType w:fmt="numberInDash"/>
          <w:cols w:space="720" w:num="1"/>
          <w:docGrid w:linePitch="286" w:charSpace="0"/>
        </w:sectPr>
      </w:pPr>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表4</w:t>
      </w:r>
    </w:p>
    <w:tbl>
      <w:tblPr>
        <w:tblStyle w:val="20"/>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4"/>
        <w:gridCol w:w="1431"/>
        <w:gridCol w:w="3344"/>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31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3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0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一、本年收入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445.00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一、本年支出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445.00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二、上年结转</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34.97</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34.97</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（七）文化体育旅游与传媒支出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（十二）城市社区支出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（二十六）转移性支付</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（三十）抗疫特别国债还本支出 </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（三十一）与中央财政往来性支出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二、年终结转结余</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479.97</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479.97</w:t>
            </w:r>
          </w:p>
        </w:tc>
      </w:tr>
    </w:tbl>
    <w:p>
      <w:pPr>
        <w:rPr>
          <w:rFonts w:hint="default"/>
          <w:lang w:val="en-US" w:eastAsia="zh-CN"/>
        </w:rPr>
        <w:sectPr>
          <w:pgSz w:w="11910" w:h="16840"/>
          <w:pgMar w:top="1580" w:right="1080" w:bottom="280" w:left="1080" w:header="720" w:footer="720" w:gutter="0"/>
          <w:pgNumType w:fmt="numberInDash"/>
          <w:cols w:space="720" w:num="1"/>
          <w:docGrid w:linePitch="286" w:charSpace="0"/>
        </w:sectPr>
      </w:pPr>
    </w:p>
    <w:p/>
    <w:p>
      <w:pPr>
        <w:rPr>
          <w:rFonts w:hint="default"/>
          <w:sz w:val="32"/>
          <w:szCs w:val="32"/>
          <w:lang w:val="en-US" w:eastAsia="zh-CN"/>
        </w:rPr>
      </w:pPr>
      <w:r>
        <w:rPr>
          <w:rFonts w:hint="eastAsia"/>
          <w:lang w:val="en-US" w:eastAsia="zh-CN"/>
        </w:rPr>
        <w:t xml:space="preserve"> </w:t>
      </w:r>
      <w:r>
        <w:rPr>
          <w:rFonts w:hint="eastAsia"/>
          <w:sz w:val="32"/>
          <w:szCs w:val="32"/>
          <w:lang w:val="en-US" w:eastAsia="zh-CN"/>
        </w:rPr>
        <w:t>表5</w:t>
      </w:r>
    </w:p>
    <w:p>
      <w:pPr>
        <w:pStyle w:val="7"/>
        <w:rPr>
          <w:rFonts w:hint="eastAsia"/>
          <w:lang w:val="en-US" w:eastAsia="zh-CN"/>
        </w:rPr>
      </w:pPr>
      <w:r>
        <w:rPr>
          <w:rFonts w:hint="eastAsia"/>
          <w:lang w:val="en-US" w:eastAsia="zh-CN"/>
        </w:rPr>
        <w:t xml:space="preserve">   </w:t>
      </w:r>
    </w:p>
    <w:tbl>
      <w:tblPr>
        <w:tblStyle w:val="20"/>
        <w:tblpPr w:leftFromText="180" w:rightFromText="180" w:vertAnchor="text" w:horzAnchor="page" w:tblpX="771" w:tblpY="547"/>
        <w:tblOverlap w:val="never"/>
        <w:tblW w:w="15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2"/>
        <w:gridCol w:w="3620"/>
        <w:gridCol w:w="2068"/>
        <w:gridCol w:w="2068"/>
        <w:gridCol w:w="2072"/>
        <w:gridCol w:w="2068"/>
        <w:gridCol w:w="2072"/>
      </w:tblGrid>
      <w:tr>
        <w:tblPrEx>
          <w:tblCellMar>
            <w:top w:w="0" w:type="dxa"/>
            <w:left w:w="108" w:type="dxa"/>
            <w:bottom w:w="0" w:type="dxa"/>
            <w:right w:w="108" w:type="dxa"/>
          </w:tblCellMar>
        </w:tblPrEx>
        <w:trPr>
          <w:trHeight w:val="1245" w:hRule="atLeast"/>
        </w:trPr>
        <w:tc>
          <w:tcPr>
            <w:tcW w:w="155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1380"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14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3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人员经费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公用经费</w:t>
            </w: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pStyle w:val="7"/>
        <w:rPr>
          <w:rFonts w:hint="default"/>
          <w:lang w:val="en-US" w:eastAsia="zh-CN"/>
        </w:rPr>
      </w:pPr>
    </w:p>
    <w:p>
      <w:pPr>
        <w:rPr>
          <w:rFonts w:hint="default"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备注：此表为空表，我单位为政府性基金预算，无一般公共预算支出</w:t>
      </w:r>
    </w:p>
    <w:p>
      <w:pPr>
        <w:pStyle w:val="7"/>
      </w:pPr>
    </w:p>
    <w:p/>
    <w:p>
      <w:pPr>
        <w:pStyle w:val="7"/>
      </w:pPr>
    </w:p>
    <w:p>
      <w:pPr>
        <w:pStyle w:val="7"/>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表6</w:t>
      </w:r>
    </w:p>
    <w:tbl>
      <w:tblPr>
        <w:tblStyle w:val="20"/>
        <w:tblpPr w:leftFromText="180" w:rightFromText="180" w:vertAnchor="text" w:horzAnchor="page" w:tblpX="787" w:tblpY="655"/>
        <w:tblOverlap w:val="never"/>
        <w:tblW w:w="15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0"/>
        <w:gridCol w:w="4841"/>
        <w:gridCol w:w="3026"/>
        <w:gridCol w:w="3026"/>
        <w:gridCol w:w="3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54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8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2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02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部门预算支出经济分类科目</w:t>
            </w:r>
          </w:p>
        </w:tc>
        <w:tc>
          <w:tcPr>
            <w:tcW w:w="9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人员经费</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rPr>
          <w:rFonts w:hint="eastAsia"/>
          <w:lang w:val="en-US" w:eastAsia="zh-CN"/>
        </w:rPr>
      </w:pPr>
    </w:p>
    <w:p>
      <w:pPr>
        <w:pStyle w:val="7"/>
        <w:rPr>
          <w:rFonts w:hint="eastAsia"/>
          <w:lang w:val="en-US" w:eastAsia="zh-CN"/>
        </w:rPr>
      </w:pPr>
    </w:p>
    <w:p>
      <w:pPr>
        <w:rPr>
          <w:rFonts w:hint="default"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备注：此表为空表，我单位为政府性基金预算，无一般公共预算支出</w:t>
      </w:r>
    </w:p>
    <w:p>
      <w:pPr>
        <w:pStyle w:val="7"/>
        <w:rPr>
          <w:rFonts w:hint="eastAsia" w:eastAsia="黑体"/>
          <w:lang w:eastAsia="zh-CN"/>
        </w:rPr>
      </w:pPr>
    </w:p>
    <w:p/>
    <w:tbl>
      <w:tblPr>
        <w:tblStyle w:val="20"/>
        <w:tblW w:w="15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2"/>
        <w:gridCol w:w="815"/>
        <w:gridCol w:w="729"/>
        <w:gridCol w:w="771"/>
        <w:gridCol w:w="816"/>
        <w:gridCol w:w="699"/>
        <w:gridCol w:w="116"/>
        <w:gridCol w:w="845"/>
        <w:gridCol w:w="888"/>
        <w:gridCol w:w="831"/>
        <w:gridCol w:w="713"/>
        <w:gridCol w:w="801"/>
        <w:gridCol w:w="743"/>
        <w:gridCol w:w="670"/>
        <w:gridCol w:w="844"/>
        <w:gridCol w:w="758"/>
        <w:gridCol w:w="523"/>
        <w:gridCol w:w="655"/>
        <w:gridCol w:w="699"/>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3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表7</w:t>
            </w:r>
          </w:p>
        </w:tc>
        <w:tc>
          <w:tcPr>
            <w:tcW w:w="8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6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85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一般公共预算“三公”经费支出表</w:t>
            </w:r>
          </w:p>
        </w:tc>
        <w:tc>
          <w:tcPr>
            <w:tcW w:w="651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308" w:type="dxa"/>
            <w:gridSpan w:val="7"/>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单位名称</w:t>
            </w:r>
          </w:p>
        </w:tc>
        <w:tc>
          <w:tcPr>
            <w:tcW w:w="47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2023年预算数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2023年执行数</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2023年执行数</w:t>
            </w:r>
          </w:p>
        </w:tc>
        <w:tc>
          <w:tcPr>
            <w:tcW w:w="43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因公出国(境)费</w:t>
            </w:r>
          </w:p>
        </w:tc>
        <w:tc>
          <w:tcPr>
            <w:tcW w:w="2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公务接待费</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因公出国(境)费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公务接待费</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因公出国(境)费</w:t>
            </w: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小计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公务用车购置费</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公务用车运行维护费</w:t>
            </w: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小计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公务用车运行维护费</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小计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锡林郭勒盟福利彩票销售服务中心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根据部门（单位）取值三公经费，部门经济分类分别为：     30212-因公出国（境）费用, 31013-公务用车购置, 30913-公务用车购置, 30231-公务用车运行维护费, 30217-公务接待费。</w:t>
            </w:r>
          </w:p>
        </w:tc>
        <w:tc>
          <w:tcPr>
            <w:tcW w:w="65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根据部门（单位）取值三公经费，部门经济分类分别为：     30212-因公出国（境）费用, 31013-公务用车购置, 30913-公务用车购置, 30231-公务用车运行维护费, 30217-公务接待费。</w:t>
            </w:r>
          </w:p>
        </w:tc>
      </w:tr>
    </w:tbl>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备注：此表为空表，我单位为政府性基金预算，无一般公共预算支出</w:t>
      </w:r>
    </w:p>
    <w:p>
      <w:pPr>
        <w:pStyle w:val="7"/>
        <w:rPr>
          <w:rFonts w:hint="eastAsia" w:ascii="仿宋_GB2312" w:hAnsi="仿宋_GB2312" w:eastAsia="仿宋_GB2312" w:cs="仿宋_GB2312"/>
          <w:sz w:val="32"/>
          <w:szCs w:val="32"/>
          <w:lang w:val="en-US" w:eastAsia="zh-CN"/>
        </w:rPr>
      </w:pPr>
    </w:p>
    <w:p>
      <w:pPr>
        <w:rPr>
          <w:rFonts w:hint="default"/>
          <w:lang w:val="en-US" w:eastAsia="zh-CN"/>
        </w:rPr>
      </w:pPr>
    </w:p>
    <w:tbl>
      <w:tblPr>
        <w:tblStyle w:val="20"/>
        <w:tblW w:w="15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4920"/>
        <w:gridCol w:w="3075"/>
        <w:gridCol w:w="307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表8</w:t>
            </w:r>
          </w:p>
        </w:tc>
        <w:tc>
          <w:tcPr>
            <w:tcW w:w="49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1600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984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9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479.97</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w:t>
            </w: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彩票发行销售机构业务费安排的支出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479.97</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2290808</w:t>
            </w: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彩票市场调控资金支出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2290804</w:t>
            </w: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福利彩票销售机构的业务费支出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427.97</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479.97</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【资金性质】=121政府性基金预算资金 ，122专项债券</w:t>
            </w:r>
          </w:p>
        </w:tc>
      </w:tr>
    </w:tbl>
    <w:p>
      <w:pPr>
        <w:pStyle w:val="7"/>
      </w:pPr>
    </w:p>
    <w:p/>
    <w:p>
      <w:pPr>
        <w:pStyle w:val="7"/>
      </w:pPr>
    </w:p>
    <w:p/>
    <w:tbl>
      <w:tblPr>
        <w:tblStyle w:val="20"/>
        <w:tblW w:w="15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4920"/>
        <w:gridCol w:w="3075"/>
        <w:gridCol w:w="307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表9</w:t>
            </w:r>
          </w:p>
        </w:tc>
        <w:tc>
          <w:tcPr>
            <w:tcW w:w="49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600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924"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9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【资金性质】=13国有资本经营预算资金</w:t>
            </w:r>
          </w:p>
        </w:tc>
      </w:tr>
    </w:tbl>
    <w:p/>
    <w:p>
      <w:pPr>
        <w:pStyle w:val="7"/>
      </w:pPr>
    </w:p>
    <w:p/>
    <w:p>
      <w:pPr>
        <w:pStyle w:val="7"/>
      </w:pPr>
    </w:p>
    <w:p/>
    <w:p>
      <w:pPr>
        <w:pStyle w:val="7"/>
      </w:pPr>
    </w:p>
    <w:p/>
    <w:p/>
    <w:p>
      <w:pPr>
        <w:pStyle w:val="7"/>
      </w:pPr>
    </w:p>
    <w:tbl>
      <w:tblPr>
        <w:tblStyle w:val="20"/>
        <w:tblW w:w="15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
        <w:gridCol w:w="795"/>
        <w:gridCol w:w="1427"/>
        <w:gridCol w:w="1599"/>
        <w:gridCol w:w="685"/>
        <w:gridCol w:w="63"/>
        <w:gridCol w:w="907"/>
        <w:gridCol w:w="47"/>
        <w:gridCol w:w="1358"/>
        <w:gridCol w:w="313"/>
        <w:gridCol w:w="629"/>
        <w:gridCol w:w="97"/>
        <w:gridCol w:w="726"/>
        <w:gridCol w:w="25"/>
        <w:gridCol w:w="1164"/>
        <w:gridCol w:w="47"/>
        <w:gridCol w:w="645"/>
        <w:gridCol w:w="350"/>
        <w:gridCol w:w="626"/>
        <w:gridCol w:w="250"/>
        <w:gridCol w:w="1152"/>
        <w:gridCol w:w="171"/>
        <w:gridCol w:w="686"/>
        <w:gridCol w:w="128"/>
        <w:gridCol w:w="992"/>
        <w:gridCol w:w="116"/>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267" w:hRule="atLeast"/>
        </w:trPr>
        <w:tc>
          <w:tcPr>
            <w:tcW w:w="25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表10</w:t>
            </w:r>
          </w:p>
        </w:tc>
        <w:tc>
          <w:tcPr>
            <w:tcW w:w="1186"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9"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1"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63"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5"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7"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9"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4"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6"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411" w:hRule="atLeast"/>
        </w:trPr>
        <w:tc>
          <w:tcPr>
            <w:tcW w:w="4972" w:type="pct"/>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267" w:hRule="atLeast"/>
        </w:trPr>
        <w:tc>
          <w:tcPr>
            <w:tcW w:w="4124" w:type="pct"/>
            <w:gridSpan w:val="20"/>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4"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33" w:type="pct"/>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401"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11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单位编码</w:t>
            </w:r>
          </w:p>
        </w:tc>
        <w:tc>
          <w:tcPr>
            <w:tcW w:w="4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项目单位</w:t>
            </w:r>
          </w:p>
        </w:tc>
        <w:tc>
          <w:tcPr>
            <w:tcW w:w="3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本年拨款</w:t>
            </w:r>
          </w:p>
        </w:tc>
        <w:tc>
          <w:tcPr>
            <w:tcW w:w="96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财政拨款结转结余</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2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881"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提前下达2024年中央彩票市场调控资金（内财综[2023]1899号）</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提前下达2024年盟市福利彩票销售机构基础建设及营销补贴资金,内财综[[2023]1894号</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57.00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提前下达2024年盟市福利彩票销售机构业务费（内财综[2023]1901号）</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336.00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23年福利彩票销售机构业务费，内财综[2022]1674号</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25.79</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2023年福利彩票销售机构通讯线租用补贴资金  内财综〔2023〕485号</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福利彩票销售机构业务费</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0.71</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80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2023年福利彩票销售机构业务费（第一批）内财综〔2023〕1099号</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302001</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锡林郭勒盟福利彩票销售服务中心</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6.68</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60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479.97</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445.00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34.97</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 w:type="pct"/>
          <w:trHeight w:val="90" w:hRule="atLeast"/>
        </w:trPr>
        <w:tc>
          <w:tcPr>
            <w:tcW w:w="25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表12</w:t>
            </w:r>
          </w:p>
        </w:tc>
        <w:tc>
          <w:tcPr>
            <w:tcW w:w="118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310"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449"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01"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263"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95"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17"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279"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14"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1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216"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236" w:hRule="atLeast"/>
        </w:trPr>
        <w:tc>
          <w:tcPr>
            <w:tcW w:w="3704" w:type="pct"/>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项目绩效目标表</w:t>
            </w:r>
          </w:p>
        </w:tc>
        <w:tc>
          <w:tcPr>
            <w:tcW w:w="1116"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5"/>
                <w:szCs w:val="15"/>
                <w:u w:val="none"/>
              </w:rPr>
            </w:pPr>
            <w:r>
              <w:rPr>
                <w:rFonts w:hint="eastAsia" w:ascii="黑体" w:hAnsi="宋体" w:eastAsia="黑体" w:cs="黑体"/>
                <w:i w:val="0"/>
                <w:iCs w:val="0"/>
                <w:color w:val="000000"/>
                <w:kern w:val="0"/>
                <w:sz w:val="15"/>
                <w:szCs w:val="15"/>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16" w:hRule="atLeast"/>
        </w:trPr>
        <w:tc>
          <w:tcPr>
            <w:tcW w:w="3704" w:type="pct"/>
            <w:gridSpan w:val="19"/>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502"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2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c>
          <w:tcPr>
            <w:tcW w:w="395" w:type="pct"/>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747"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项目单位</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项目类别</w:t>
            </w: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年度绩效目标</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一级指标</w:t>
            </w: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二级指标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三级指标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指标性质</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指标方向</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目标值</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计量单位</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184" w:hRule="atLeast"/>
        </w:trPr>
        <w:tc>
          <w:tcPr>
            <w:tcW w:w="7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提前下达2024年盟市福利彩票销售机构业务费（内财综[2023]1901号）</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302001-锡林郭勒盟福利彩票销售服务中心</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336.00</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提前下达2024年度福利彩票销售机构业务费，用于发放在职人员、聘用人员、退休人员工资及缴纳职工住房公积金和社保费；2024年度营销宣传经费。</w:t>
            </w: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资金到位率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257"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9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广告投放率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338"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营销活动经费</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182"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人员经费</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9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广告宣传经费</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9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广告渠道种类</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43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发放工资及退休费人数</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93"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营销活动次数</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1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工资发放及时率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每月25日前发放</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36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资金支付及时率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按照合同约定时限及金额及时支付</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39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经费可使用年限</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18"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保障职工权益时长</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04"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提供就业岗位</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355"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职工满意度</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272"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销售站业主满意度</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44" w:hRule="atLeast"/>
        </w:trPr>
        <w:tc>
          <w:tcPr>
            <w:tcW w:w="7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提前下达2024年盟市福利彩票销售机构基础建设及营销补贴资金,内财综[[2023]1894号</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302001-锡林郭勒盟福利彩票销售服务中心</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57.00</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保障单位日常运转，提高预算编制质量，严格执行预算</w:t>
            </w: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销售站业主满意度</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12"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职工满意度</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401" w:hRule="atLeast"/>
        </w:trPr>
        <w:tc>
          <w:tcPr>
            <w:tcW w:w="7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提前下达2024年盟市福利彩票销售机构基础建设及营销补贴资金,内财综[[2023]1894号</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302001-锡林郭勒盟福利彩票销售服务中心</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57.00</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保障单位日常运转，提高预算编制质量，严格执行预算</w:t>
            </w: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经费可使用年限</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646"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积极建立福彩公益品牌形象</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宣传福利彩票“扶老助残救孤济困”公益形象</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192"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宣销一体化补贴资金</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366"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即开票渠道建设及营销补贴</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9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公益品牌宣传资金</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30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资金支付及时率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按照合同约定时间及金额，及时支付</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263"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广告投放及时率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根据公益宣传广告计划投放时间及时投放</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35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资金支付率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18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资金到位率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487"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公益品牌宣传活动次数</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391"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公益品牌宣传渠道</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453"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即开票营销活动次数</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61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宣销一体化站点建设数量</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428" w:hRule="atLeast"/>
        </w:trPr>
        <w:tc>
          <w:tcPr>
            <w:tcW w:w="7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提前下达2024年中央彩票市场调控资金（内财综[2023]1899号）</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302001-锡林郭勒盟福利彩票销售服务中心</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52.00</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下达市场调控资金用于福利彩票65家销售网点标准化建设，更换门头牌匾、统一制作走势图、背景墙、公益墙，警示标语等，预计支出52万元</w:t>
            </w: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缓解销售站运营压力</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有效缓解</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61"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彩民购彩便利性和舒适性</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有效改善</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317"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走势图制作成本</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44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每家销售站标准化建设成本</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579"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资金支付及时率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根据合同约定的时间和金额，及时支付</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9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资金使用时长</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82"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验收合格率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254"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资金使用率</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235"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更换牌匾数量</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510" w:hRule="atLeast"/>
        </w:trPr>
        <w:tc>
          <w:tcPr>
            <w:tcW w:w="7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提前下达2024年中央彩票市场调控资金（内财综[2023]1899号）</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302001-锡林郭勒盟福利彩票销售服务中心</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52.00</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下达市场调控资金用于福利彩票65家销售网点标准化建设，更换门头牌匾、统一制作走势图、背景墙、公益墙，警示标语等，预计支出52万元</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标准化建设站点数量</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8" w:type="pct"/>
          <w:trHeight w:val="793"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销售站业主满意度</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556"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5"/>
                <w:szCs w:val="15"/>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445.00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5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8" w:type="pct"/>
          <w:trHeight w:val="821" w:hRule="atLeast"/>
        </w:trPr>
        <w:tc>
          <w:tcPr>
            <w:tcW w:w="3704"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口径说明：     取值为【项目库管理】-预算项目所填写绩效目标表。</w:t>
            </w:r>
          </w:p>
        </w:tc>
        <w:tc>
          <w:tcPr>
            <w:tcW w:w="111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口径说明：     取值为【项目库管理】-预算项目所填写绩效目标表。</w:t>
            </w:r>
          </w:p>
        </w:tc>
      </w:tr>
    </w:tbl>
    <w:p/>
    <w:p/>
    <w:p/>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1000"/>
        <w:gridCol w:w="653"/>
        <w:gridCol w:w="2525"/>
        <w:gridCol w:w="653"/>
        <w:gridCol w:w="653"/>
        <w:gridCol w:w="1003"/>
        <w:gridCol w:w="1006"/>
        <w:gridCol w:w="668"/>
        <w:gridCol w:w="653"/>
        <w:gridCol w:w="656"/>
        <w:gridCol w:w="653"/>
        <w:gridCol w:w="653"/>
        <w:gridCol w:w="653"/>
        <w:gridCol w:w="653"/>
        <w:gridCol w:w="653"/>
        <w:gridCol w:w="653"/>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2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表15</w:t>
            </w:r>
          </w:p>
        </w:tc>
        <w:tc>
          <w:tcPr>
            <w:tcW w:w="32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3014"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政府采购预算表</w:t>
            </w:r>
          </w:p>
        </w:tc>
        <w:tc>
          <w:tcPr>
            <w:tcW w:w="1985"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014" w:type="pct"/>
            <w:gridSpan w:val="9"/>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1" w:type="pct"/>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部门（单位）代码</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部门（单位）名称</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采购品目编码</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采购品目</w:t>
            </w:r>
          </w:p>
        </w:tc>
        <w:tc>
          <w:tcPr>
            <w:tcW w:w="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申报情况</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资金性质</w:t>
            </w:r>
          </w:p>
        </w:tc>
        <w:tc>
          <w:tcPr>
            <w:tcW w:w="198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申请数量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事业收入</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事业单位经营收入</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上级补助收入</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附属单位上缴收入</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取值口径为部门预算编制二上细化【支出预算表】-【政府采购预算汇总表】</w:t>
            </w:r>
          </w:p>
        </w:tc>
        <w:tc>
          <w:tcPr>
            <w:tcW w:w="198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取值口径为部门预算编制二上细化【支出预算表】-【政府采购预算汇总表】</w:t>
            </w:r>
          </w:p>
        </w:tc>
      </w:tr>
    </w:tbl>
    <w:p/>
    <w:p>
      <w:r>
        <w:rPr>
          <w:rFonts w:hint="eastAsia" w:ascii="仿宋_GB2312" w:hAnsi="仿宋_GB2312" w:eastAsia="仿宋_GB2312" w:cs="仿宋_GB2312"/>
          <w:sz w:val="32"/>
          <w:szCs w:val="32"/>
          <w:lang w:val="en-US" w:eastAsia="zh-CN"/>
        </w:rPr>
        <w:t>备注：此表为空表</w:t>
      </w:r>
    </w:p>
    <w:sectPr>
      <w:pgSz w:w="16840" w:h="11910" w:orient="landscape"/>
      <w:pgMar w:top="1080" w:right="1580" w:bottom="1080" w:left="2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FC382C-7EC0-42D0-8954-82A081CA89EC}"/>
  </w:font>
  <w:font w:name="黑体">
    <w:panose1 w:val="02010609060101010101"/>
    <w:charset w:val="86"/>
    <w:family w:val="auto"/>
    <w:pitch w:val="default"/>
    <w:sig w:usb0="800002BF" w:usb1="38CF7CFA" w:usb2="00000016" w:usb3="00000000" w:csb0="00040001" w:csb1="00000000"/>
    <w:embedRegular r:id="rId2" w:fontKey="{5D2A797E-1A60-4743-9450-ADF8D3526F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A0204878-AD98-4794-95BB-1ACF514A41F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B4306D99-79BF-4888-B933-FF975E158A96}"/>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118A8C7A-4921-4014-952B-69728EE9EFD6}"/>
  </w:font>
  <w:font w:name="楷体">
    <w:panose1 w:val="02010609060101010101"/>
    <w:charset w:val="86"/>
    <w:family w:val="decorative"/>
    <w:pitch w:val="default"/>
    <w:sig w:usb0="800002BF" w:usb1="38CF7CFA" w:usb2="00000016" w:usb3="00000000" w:csb0="00040001" w:csb1="00000000"/>
    <w:embedRegular r:id="rId6" w:fontKey="{F4F555B9-D2BE-41E9-8F31-61803588E5A0}"/>
  </w:font>
  <w:font w:name="Hiragino Sans GB">
    <w:altName w:val="Segoe Print"/>
    <w:panose1 w:val="00000000000000000000"/>
    <w:charset w:val="00"/>
    <w:family w:val="auto"/>
    <w:pitch w:val="default"/>
    <w:sig w:usb0="00000000" w:usb1="00000000" w:usb2="00000000" w:usb3="00000000" w:csb0="00000000" w:csb1="00000000"/>
    <w:embedRegular r:id="rId7" w:fontKey="{C1B3CE94-BD68-4E2A-8DBA-DD54E3ADC68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4C1E4"/>
    <w:multiLevelType w:val="singleLevel"/>
    <w:tmpl w:val="0004C1E4"/>
    <w:lvl w:ilvl="0" w:tentative="0">
      <w:start w:val="5"/>
      <w:numFmt w:val="chineseCounting"/>
      <w:suff w:val="space"/>
      <w:lvlText w:val="第%1部分"/>
      <w:lvlJc w:val="left"/>
      <w:rPr>
        <w:rFonts w:hint="eastAsia"/>
      </w:rPr>
    </w:lvl>
  </w:abstractNum>
  <w:abstractNum w:abstractNumId="1">
    <w:nsid w:val="2CC94C91"/>
    <w:multiLevelType w:val="singleLevel"/>
    <w:tmpl w:val="2CC94C91"/>
    <w:lvl w:ilvl="0" w:tentative="0">
      <w:start w:val="6"/>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WY5ZGUwNjE3OWY2ZThmNTg1ZTUzNDUwNzgwYzI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E457F8"/>
    <w:rsid w:val="03C230FA"/>
    <w:rsid w:val="03C84930"/>
    <w:rsid w:val="03DF7E09"/>
    <w:rsid w:val="048320BB"/>
    <w:rsid w:val="04B563C2"/>
    <w:rsid w:val="04E56C63"/>
    <w:rsid w:val="05531A54"/>
    <w:rsid w:val="05F92C68"/>
    <w:rsid w:val="06571B7A"/>
    <w:rsid w:val="069A67CB"/>
    <w:rsid w:val="077111CE"/>
    <w:rsid w:val="0772575A"/>
    <w:rsid w:val="07DA3A8F"/>
    <w:rsid w:val="089D7C92"/>
    <w:rsid w:val="09C92DD3"/>
    <w:rsid w:val="09CF6E4B"/>
    <w:rsid w:val="0B6B045B"/>
    <w:rsid w:val="0BD554C2"/>
    <w:rsid w:val="0BF24799"/>
    <w:rsid w:val="0E7B4525"/>
    <w:rsid w:val="0FB96802"/>
    <w:rsid w:val="0FC4644C"/>
    <w:rsid w:val="10767327"/>
    <w:rsid w:val="11304CEB"/>
    <w:rsid w:val="11AF4DCB"/>
    <w:rsid w:val="12582B20"/>
    <w:rsid w:val="12955111"/>
    <w:rsid w:val="12CC6E6D"/>
    <w:rsid w:val="131958F2"/>
    <w:rsid w:val="13806E42"/>
    <w:rsid w:val="13A607E7"/>
    <w:rsid w:val="14005579"/>
    <w:rsid w:val="140E7482"/>
    <w:rsid w:val="1440520B"/>
    <w:rsid w:val="14737EE6"/>
    <w:rsid w:val="17BC5001"/>
    <w:rsid w:val="183A0A1F"/>
    <w:rsid w:val="198C1D89"/>
    <w:rsid w:val="1B74013C"/>
    <w:rsid w:val="1C5158CC"/>
    <w:rsid w:val="1CFA34AD"/>
    <w:rsid w:val="1E0D2BED"/>
    <w:rsid w:val="1E591AD6"/>
    <w:rsid w:val="1F14499E"/>
    <w:rsid w:val="1F5B26C7"/>
    <w:rsid w:val="203A4DF7"/>
    <w:rsid w:val="21837F15"/>
    <w:rsid w:val="21983295"/>
    <w:rsid w:val="224109E7"/>
    <w:rsid w:val="22A144DF"/>
    <w:rsid w:val="22EB689E"/>
    <w:rsid w:val="2472310C"/>
    <w:rsid w:val="249C2E00"/>
    <w:rsid w:val="26783373"/>
    <w:rsid w:val="26CE5027"/>
    <w:rsid w:val="27F62AEE"/>
    <w:rsid w:val="284C639B"/>
    <w:rsid w:val="2866365B"/>
    <w:rsid w:val="291A1F7F"/>
    <w:rsid w:val="2B5F4D1E"/>
    <w:rsid w:val="2B9D683D"/>
    <w:rsid w:val="2BDD6474"/>
    <w:rsid w:val="2CF23FA9"/>
    <w:rsid w:val="2DDE2C59"/>
    <w:rsid w:val="2E50057C"/>
    <w:rsid w:val="2E592BC1"/>
    <w:rsid w:val="2F204A26"/>
    <w:rsid w:val="2F3045A4"/>
    <w:rsid w:val="2F567AA0"/>
    <w:rsid w:val="30043F67"/>
    <w:rsid w:val="309F5392"/>
    <w:rsid w:val="3161171F"/>
    <w:rsid w:val="319A28B2"/>
    <w:rsid w:val="3276083D"/>
    <w:rsid w:val="33905BDA"/>
    <w:rsid w:val="339B19D0"/>
    <w:rsid w:val="341D7D55"/>
    <w:rsid w:val="3508551A"/>
    <w:rsid w:val="359C0F7A"/>
    <w:rsid w:val="37773B3C"/>
    <w:rsid w:val="37776170"/>
    <w:rsid w:val="378B37C3"/>
    <w:rsid w:val="37BE57F0"/>
    <w:rsid w:val="383B0BDA"/>
    <w:rsid w:val="38F2725A"/>
    <w:rsid w:val="3941563D"/>
    <w:rsid w:val="39454EA8"/>
    <w:rsid w:val="39C037CE"/>
    <w:rsid w:val="3A86167D"/>
    <w:rsid w:val="3AE332B3"/>
    <w:rsid w:val="3C8C247C"/>
    <w:rsid w:val="3CD07435"/>
    <w:rsid w:val="3D65545B"/>
    <w:rsid w:val="3DBD6105"/>
    <w:rsid w:val="3E540ED5"/>
    <w:rsid w:val="3E7C6D69"/>
    <w:rsid w:val="3FA119B7"/>
    <w:rsid w:val="40177DE3"/>
    <w:rsid w:val="40976810"/>
    <w:rsid w:val="40B530C4"/>
    <w:rsid w:val="417A1877"/>
    <w:rsid w:val="422711D3"/>
    <w:rsid w:val="432253DD"/>
    <w:rsid w:val="43501007"/>
    <w:rsid w:val="43863DDA"/>
    <w:rsid w:val="43E514A4"/>
    <w:rsid w:val="444939F2"/>
    <w:rsid w:val="451D4EF5"/>
    <w:rsid w:val="45551365"/>
    <w:rsid w:val="461940F5"/>
    <w:rsid w:val="476F66C2"/>
    <w:rsid w:val="482809DA"/>
    <w:rsid w:val="4A0B7731"/>
    <w:rsid w:val="4A3A7537"/>
    <w:rsid w:val="4A9A751F"/>
    <w:rsid w:val="4AB8212E"/>
    <w:rsid w:val="4AE10089"/>
    <w:rsid w:val="4B177614"/>
    <w:rsid w:val="4B3A3DE4"/>
    <w:rsid w:val="4B77032C"/>
    <w:rsid w:val="4B852596"/>
    <w:rsid w:val="4BCA4DC2"/>
    <w:rsid w:val="4BFA79C0"/>
    <w:rsid w:val="4C693F0D"/>
    <w:rsid w:val="4CC43F74"/>
    <w:rsid w:val="4D3806BD"/>
    <w:rsid w:val="4DEC34C0"/>
    <w:rsid w:val="4EB94195"/>
    <w:rsid w:val="4EFC1524"/>
    <w:rsid w:val="4F6057CB"/>
    <w:rsid w:val="4F6952B2"/>
    <w:rsid w:val="4FA56487"/>
    <w:rsid w:val="4FC44EDC"/>
    <w:rsid w:val="50193C19"/>
    <w:rsid w:val="50997532"/>
    <w:rsid w:val="51247801"/>
    <w:rsid w:val="51296E07"/>
    <w:rsid w:val="52C12FB4"/>
    <w:rsid w:val="53097B05"/>
    <w:rsid w:val="535B5D4C"/>
    <w:rsid w:val="53866EE0"/>
    <w:rsid w:val="538F587F"/>
    <w:rsid w:val="544E2FF3"/>
    <w:rsid w:val="551E7F0E"/>
    <w:rsid w:val="55B95F2B"/>
    <w:rsid w:val="55D63612"/>
    <w:rsid w:val="55D9538F"/>
    <w:rsid w:val="56B137E7"/>
    <w:rsid w:val="578313D3"/>
    <w:rsid w:val="57CA68AA"/>
    <w:rsid w:val="59654F1B"/>
    <w:rsid w:val="5A650D5A"/>
    <w:rsid w:val="5A8E6B50"/>
    <w:rsid w:val="5B526E3B"/>
    <w:rsid w:val="5D176670"/>
    <w:rsid w:val="5EFB5FCF"/>
    <w:rsid w:val="5F577D10"/>
    <w:rsid w:val="607E3834"/>
    <w:rsid w:val="60976762"/>
    <w:rsid w:val="615674ED"/>
    <w:rsid w:val="61744EA1"/>
    <w:rsid w:val="61E24540"/>
    <w:rsid w:val="62C0797A"/>
    <w:rsid w:val="637048DB"/>
    <w:rsid w:val="64283A29"/>
    <w:rsid w:val="64AA146F"/>
    <w:rsid w:val="65335497"/>
    <w:rsid w:val="65D76172"/>
    <w:rsid w:val="66C77325"/>
    <w:rsid w:val="68931D4F"/>
    <w:rsid w:val="68C6406F"/>
    <w:rsid w:val="699439CD"/>
    <w:rsid w:val="6A1638AD"/>
    <w:rsid w:val="6AED1D2F"/>
    <w:rsid w:val="6B4551DF"/>
    <w:rsid w:val="6B9E2823"/>
    <w:rsid w:val="6C7B77BD"/>
    <w:rsid w:val="6C992C34"/>
    <w:rsid w:val="6CA95923"/>
    <w:rsid w:val="6D756958"/>
    <w:rsid w:val="6D77157D"/>
    <w:rsid w:val="6E9D340F"/>
    <w:rsid w:val="6F4058FE"/>
    <w:rsid w:val="6FD50DDC"/>
    <w:rsid w:val="718B3849"/>
    <w:rsid w:val="72BF5211"/>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B47C20"/>
    <w:rsid w:val="7DF96BCA"/>
    <w:rsid w:val="7E1251F4"/>
    <w:rsid w:val="7E1C2C83"/>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link w:val="3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6"/>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4"/>
    <w:autoRedefine/>
    <w:unhideWhenUsed/>
    <w:qFormat/>
    <w:uiPriority w:val="1"/>
    <w:pPr>
      <w:keepNext/>
      <w:keepLines/>
      <w:spacing w:before="280" w:after="290" w:line="376" w:lineRule="auto"/>
      <w:outlineLvl w:val="4"/>
    </w:pPr>
    <w:rPr>
      <w:b/>
      <w:bCs/>
      <w:sz w:val="28"/>
      <w:szCs w:val="28"/>
    </w:rPr>
  </w:style>
  <w:style w:type="paragraph" w:styleId="7">
    <w:name w:val="heading 6"/>
    <w:basedOn w:val="1"/>
    <w:next w:val="1"/>
    <w:autoRedefine/>
    <w:unhideWhenUsed/>
    <w:qFormat/>
    <w:uiPriority w:val="0"/>
    <w:pPr>
      <w:keepNext/>
      <w:keepLines/>
      <w:spacing w:before="240" w:after="64" w:line="320" w:lineRule="atLeast"/>
      <w:outlineLvl w:val="5"/>
    </w:pPr>
    <w:rPr>
      <w:rFonts w:ascii="Arial" w:hAnsi="Arial" w:eastAsia="黑体"/>
      <w:b/>
      <w:bCs/>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5"/>
    <w:autoRedefine/>
    <w:unhideWhenUsed/>
    <w:qFormat/>
    <w:uiPriority w:val="1"/>
    <w:pPr>
      <w:spacing w:after="120"/>
    </w:pPr>
  </w:style>
  <w:style w:type="paragraph" w:styleId="10">
    <w:name w:val="annotation text"/>
    <w:basedOn w:val="1"/>
    <w:link w:val="27"/>
    <w:autoRedefine/>
    <w:unhideWhenUsed/>
    <w:qFormat/>
    <w:uiPriority w:val="99"/>
    <w:pPr>
      <w:jc w:val="left"/>
    </w:pPr>
  </w:style>
  <w:style w:type="paragraph" w:styleId="11">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7"/>
    <w:autoRedefine/>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0"/>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0"/>
    <w:next w:val="10"/>
    <w:link w:val="28"/>
    <w:autoRedefine/>
    <w:unhideWhenUsed/>
    <w:qFormat/>
    <w:uiPriority w:val="99"/>
    <w:rPr>
      <w:b/>
      <w:bCs/>
    </w:rPr>
  </w:style>
  <w:style w:type="paragraph" w:styleId="19">
    <w:name w:val="Body Text First Indent 2"/>
    <w:basedOn w:val="11"/>
    <w:autoRedefine/>
    <w:qFormat/>
    <w:uiPriority w:val="0"/>
    <w:pPr>
      <w:ind w:firstLine="42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2"/>
    <w:autoRedefine/>
    <w:unhideWhenUsed/>
    <w:qFormat/>
    <w:uiPriority w:val="99"/>
    <w:rPr>
      <w:sz w:val="21"/>
      <w:szCs w:val="21"/>
    </w:rPr>
  </w:style>
  <w:style w:type="character" w:customStyle="1" w:styleId="25">
    <w:name w:val="页眉 Char"/>
    <w:basedOn w:val="22"/>
    <w:link w:val="14"/>
    <w:autoRedefine/>
    <w:qFormat/>
    <w:uiPriority w:val="99"/>
    <w:rPr>
      <w:sz w:val="18"/>
      <w:szCs w:val="18"/>
    </w:rPr>
  </w:style>
  <w:style w:type="character" w:customStyle="1" w:styleId="26">
    <w:name w:val="页脚 Char"/>
    <w:basedOn w:val="22"/>
    <w:link w:val="13"/>
    <w:autoRedefine/>
    <w:qFormat/>
    <w:uiPriority w:val="99"/>
    <w:rPr>
      <w:sz w:val="18"/>
      <w:szCs w:val="18"/>
    </w:rPr>
  </w:style>
  <w:style w:type="character" w:customStyle="1" w:styleId="27">
    <w:name w:val="批注文字 Char"/>
    <w:basedOn w:val="22"/>
    <w:link w:val="10"/>
    <w:autoRedefine/>
    <w:qFormat/>
    <w:uiPriority w:val="99"/>
    <w:rPr>
      <w:rFonts w:ascii="Times New Roman" w:hAnsi="Times New Roman" w:eastAsia="Courier New" w:cs="Times New Roman"/>
      <w:szCs w:val="21"/>
    </w:rPr>
  </w:style>
  <w:style w:type="character" w:customStyle="1" w:styleId="28">
    <w:name w:val="批注主题 Char"/>
    <w:basedOn w:val="27"/>
    <w:link w:val="18"/>
    <w:autoRedefine/>
    <w:semiHidden/>
    <w:qFormat/>
    <w:uiPriority w:val="99"/>
    <w:rPr>
      <w:rFonts w:ascii="Times New Roman" w:hAnsi="Times New Roman" w:eastAsia="Courier New" w:cs="Times New Roman"/>
      <w:b/>
      <w:bCs/>
      <w:szCs w:val="21"/>
    </w:rPr>
  </w:style>
  <w:style w:type="paragraph" w:customStyle="1" w:styleId="29">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6"/>
    <w:autoRedefine/>
    <w:qFormat/>
    <w:uiPriority w:val="11"/>
    <w:rPr>
      <w:b/>
      <w:bCs/>
      <w:kern w:val="28"/>
      <w:sz w:val="32"/>
      <w:szCs w:val="32"/>
    </w:rPr>
  </w:style>
  <w:style w:type="character" w:customStyle="1" w:styleId="31">
    <w:name w:val="标题 2 Char"/>
    <w:basedOn w:val="22"/>
    <w:link w:val="3"/>
    <w:autoRedefine/>
    <w:qFormat/>
    <w:uiPriority w:val="9"/>
    <w:rPr>
      <w:rFonts w:ascii="Arial" w:hAnsi="Arial" w:eastAsia="Symbol" w:cs="Times New Roman"/>
      <w:b/>
      <w:bCs/>
      <w:sz w:val="32"/>
      <w:szCs w:val="32"/>
    </w:rPr>
  </w:style>
  <w:style w:type="paragraph" w:customStyle="1" w:styleId="32">
    <w:name w:val="表格名称"/>
    <w:basedOn w:val="1"/>
    <w:autoRedefine/>
    <w:qFormat/>
    <w:uiPriority w:val="0"/>
    <w:pPr>
      <w:spacing w:line="360" w:lineRule="auto"/>
      <w:jc w:val="center"/>
    </w:pPr>
    <w:rPr>
      <w:rFonts w:eastAsia="Helv" w:cs="New York"/>
      <w:b/>
      <w:sz w:val="24"/>
      <w:szCs w:val="24"/>
    </w:rPr>
  </w:style>
  <w:style w:type="paragraph" w:customStyle="1" w:styleId="33">
    <w:name w:val="表格文字"/>
    <w:basedOn w:val="29"/>
    <w:next w:val="1"/>
    <w:autoRedefine/>
    <w:qFormat/>
    <w:uiPriority w:val="0"/>
    <w:pPr>
      <w:spacing w:line="360" w:lineRule="exact"/>
    </w:pPr>
    <w:rPr>
      <w:rFonts w:eastAsia="Helv" w:cs="New York"/>
      <w:sz w:val="24"/>
    </w:rPr>
  </w:style>
  <w:style w:type="character" w:customStyle="1" w:styleId="34">
    <w:name w:val="标题 5 Char"/>
    <w:basedOn w:val="22"/>
    <w:link w:val="6"/>
    <w:autoRedefine/>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9"/>
    <w:autoRedefine/>
    <w:semiHidden/>
    <w:qFormat/>
    <w:uiPriority w:val="99"/>
    <w:rPr>
      <w:rFonts w:ascii="Times New Roman" w:hAnsi="Times New Roman" w:eastAsia="Courier New" w:cs="Times New Roman"/>
      <w:szCs w:val="21"/>
    </w:rPr>
  </w:style>
  <w:style w:type="character" w:customStyle="1" w:styleId="36">
    <w:name w:val="标题 4 Char"/>
    <w:basedOn w:val="22"/>
    <w:link w:val="5"/>
    <w:autoRedefine/>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2"/>
    <w:autoRedefine/>
    <w:semiHidden/>
    <w:qFormat/>
    <w:uiPriority w:val="99"/>
    <w:rPr>
      <w:rFonts w:ascii="Times New Roman" w:hAnsi="Times New Roman" w:eastAsia="Courier New" w:cs="Times New Roman"/>
      <w:kern w:val="2"/>
      <w:sz w:val="18"/>
      <w:szCs w:val="18"/>
    </w:rPr>
  </w:style>
  <w:style w:type="table" w:customStyle="1" w:styleId="38">
    <w:name w:val="Table Normal"/>
    <w:autoRedefine/>
    <w:unhideWhenUsed/>
    <w:qFormat/>
    <w:uiPriority w:val="2"/>
    <w:tblPr>
      <w:tblCellMar>
        <w:top w:w="0" w:type="dxa"/>
        <w:left w:w="0" w:type="dxa"/>
        <w:bottom w:w="0" w:type="dxa"/>
        <w:right w:w="0" w:type="dxa"/>
      </w:tblCellMar>
    </w:tblPr>
  </w:style>
  <w:style w:type="paragraph" w:customStyle="1" w:styleId="39">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8</TotalTime>
  <ScaleCrop>false</ScaleCrop>
  <LinksUpToDate>false</LinksUpToDate>
  <CharactersWithSpaces>9241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☆珊瑚海☆</cp:lastModifiedBy>
  <cp:lastPrinted>2022-09-03T08:20:00Z</cp:lastPrinted>
  <dcterms:modified xsi:type="dcterms:W3CDTF">2024-03-13T00:41:40Z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C2720B4379164763B181808C1C8FF59F_13</vt:lpwstr>
  </property>
  <property fmtid="{D5CDD505-2E9C-101B-9397-08002B2CF9AE}" pid="4" name="commondata">
    <vt:lpwstr>eyJoZGlkIjoiMDUyZTZiOWNhNTRkM2JiNDQwZWRmZDZjZTIwNDhiY2IifQ==</vt:lpwstr>
  </property>
</Properties>
</file>