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val="0"/>
        <w:widowControl/>
        <w:suppressLineNumbers w:val="0"/>
        <w:spacing w:before="340" w:beforeAutospacing="0" w:after="330" w:afterAutospacing="0" w:line="576" w:lineRule="auto"/>
        <w:ind w:left="198" w:right="0"/>
        <w:jc w:val="both"/>
      </w:pPr>
      <w:r>
        <w:rPr>
          <w:rFonts w:hint="default" w:ascii="Times New Roman" w:hAnsi="Times New Roman" w:cs="Times New Roman"/>
          <w:b/>
          <w:bCs/>
          <w:sz w:val="32"/>
          <w:szCs w:val="32"/>
          <w:lang w:val="en-US"/>
        </w:rPr>
        <w:t> </w:t>
      </w:r>
    </w:p>
    <w:p>
      <w:pPr>
        <w:keepNext w:val="0"/>
        <w:keepLines w:val="0"/>
        <w:widowControl/>
        <w:suppressLineNumbers w:val="0"/>
        <w:spacing w:before="0" w:beforeAutospacing="1" w:after="0" w:afterAutospacing="1"/>
        <w:ind w:left="0" w:right="0"/>
        <w:jc w:val="both"/>
      </w:pPr>
      <w:r>
        <w:rPr>
          <w:rFonts w:hint="default" w:ascii="Times New Roman" w:hAnsi="Times New Roman" w:cs="Times New Roman"/>
          <w:sz w:val="32"/>
          <w:szCs w:val="32"/>
          <w:lang w:val="en-US"/>
        </w:rPr>
        <w:t> </w:t>
      </w:r>
    </w:p>
    <w:p>
      <w:pPr>
        <w:keepNext w:val="0"/>
        <w:keepLines w:val="0"/>
        <w:widowControl/>
        <w:suppressLineNumbers w:val="0"/>
        <w:spacing w:before="0" w:beforeAutospacing="0" w:after="120" w:afterAutospacing="0"/>
        <w:ind w:left="420" w:right="0" w:firstLine="640"/>
        <w:jc w:val="both"/>
      </w:pPr>
      <w:r>
        <w:rPr>
          <w:rFonts w:hint="default" w:ascii="Times New Roman" w:hAnsi="Times New Roman" w:cs="Times New Roman"/>
          <w:sz w:val="32"/>
          <w:szCs w:val="32"/>
          <w:lang w:val="en-US"/>
        </w:rPr>
        <w:t> </w:t>
      </w:r>
    </w:p>
    <w:p>
      <w:pPr>
        <w:keepNext w:val="0"/>
        <w:keepLines w:val="0"/>
        <w:widowControl/>
        <w:suppressLineNumbers w:val="0"/>
        <w:spacing w:before="0" w:beforeAutospacing="0" w:after="120" w:afterAutospacing="0"/>
        <w:ind w:left="420" w:right="0" w:firstLine="640"/>
        <w:jc w:val="both"/>
      </w:pPr>
      <w:r>
        <w:rPr>
          <w:rFonts w:hint="default" w:ascii="Times New Roman" w:hAnsi="Times New Roman" w:cs="Times New Roman"/>
          <w:sz w:val="32"/>
          <w:szCs w:val="32"/>
          <w:lang w:val="en-US"/>
        </w:rPr>
        <w:t> </w:t>
      </w:r>
    </w:p>
    <w:p>
      <w:pPr>
        <w:keepNext w:val="0"/>
        <w:keepLines w:val="0"/>
        <w:widowControl/>
        <w:suppressLineNumbers w:val="0"/>
        <w:spacing w:before="0" w:beforeAutospacing="0" w:after="120" w:afterAutospacing="0"/>
        <w:ind w:left="420" w:right="0" w:firstLine="640"/>
        <w:jc w:val="both"/>
      </w:pPr>
      <w:r>
        <w:rPr>
          <w:rFonts w:hint="default" w:ascii="Times New Roman" w:hAnsi="Times New Roman" w:cs="Times New Roman"/>
          <w:sz w:val="32"/>
          <w:szCs w:val="32"/>
          <w:lang w:val="en-US"/>
        </w:rPr>
        <w:t> </w:t>
      </w:r>
    </w:p>
    <w:p>
      <w:pPr>
        <w:keepNext w:val="0"/>
        <w:keepLines w:val="0"/>
        <w:widowControl/>
        <w:suppressLineNumbers w:val="0"/>
        <w:spacing w:before="0" w:beforeAutospacing="0" w:after="120" w:afterAutospacing="0"/>
        <w:ind w:left="420" w:right="0" w:firstLine="640"/>
        <w:jc w:val="both"/>
      </w:pPr>
      <w:r>
        <w:rPr>
          <w:rFonts w:hint="default" w:ascii="Times New Roman" w:hAnsi="Times New Roman" w:cs="Times New Roman"/>
          <w:sz w:val="32"/>
          <w:szCs w:val="32"/>
          <w:lang w:val="en-US"/>
        </w:rPr>
        <w:t> </w:t>
      </w:r>
    </w:p>
    <w:p>
      <w:pPr>
        <w:keepNext w:val="0"/>
        <w:keepLines w:val="0"/>
        <w:widowControl/>
        <w:suppressLineNumbers w:val="0"/>
        <w:spacing w:before="0" w:beforeAutospacing="0" w:after="120" w:afterAutospacing="0"/>
        <w:ind w:left="420" w:right="0" w:firstLine="640"/>
        <w:jc w:val="both"/>
      </w:pPr>
      <w:r>
        <w:rPr>
          <w:rFonts w:hint="default" w:ascii="Times New Roman" w:hAnsi="Times New Roman" w:cs="Times New Roman"/>
          <w:sz w:val="32"/>
          <w:szCs w:val="32"/>
          <w:lang w:val="en-US"/>
        </w:rPr>
        <w:t> </w:t>
      </w:r>
    </w:p>
    <w:p>
      <w:pPr>
        <w:keepNext/>
        <w:keepLines w:val="0"/>
        <w:widowControl/>
        <w:suppressLineNumbers w:val="0"/>
        <w:spacing w:before="0" w:beforeAutospacing="1" w:after="0" w:afterAutospacing="1"/>
        <w:ind w:left="198" w:right="0"/>
        <w:jc w:val="center"/>
        <w:rPr>
          <w:rFonts w:hint="eastAsia" w:ascii="方正小标宋简体" w:hAnsi="方正小标宋简体" w:eastAsia="方正小标宋简体" w:cs="方正小标宋简体"/>
          <w:sz w:val="44"/>
          <w:szCs w:val="44"/>
          <w:lang w:val="en-US"/>
        </w:rPr>
      </w:pPr>
      <w:r>
        <w:rPr>
          <w:rFonts w:ascii="方正小标宋简体" w:hAnsi="方正小标宋简体" w:eastAsia="方正小标宋简体" w:cs="方正小标宋简体"/>
          <w:sz w:val="44"/>
          <w:szCs w:val="44"/>
          <w:lang w:val="en-US"/>
        </w:rPr>
        <w:t>2022</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val="en-US"/>
        </w:rPr>
        <w:t>锡林郭勒盟安神医院</w:t>
      </w:r>
    </w:p>
    <w:p>
      <w:pPr>
        <w:keepNext/>
        <w:keepLines w:val="0"/>
        <w:widowControl/>
        <w:suppressLineNumbers w:val="0"/>
        <w:spacing w:before="0" w:beforeAutospacing="1" w:after="0" w:afterAutospacing="1"/>
        <w:ind w:left="198" w:right="0"/>
        <w:jc w:val="center"/>
      </w:pPr>
      <w:r>
        <w:rPr>
          <w:rFonts w:hint="eastAsia" w:ascii="方正小标宋简体" w:hAnsi="方正小标宋简体" w:eastAsia="方正小标宋简体" w:cs="方正小标宋简体"/>
          <w:sz w:val="44"/>
          <w:szCs w:val="44"/>
          <w:lang w:val="en-US"/>
        </w:rPr>
        <w:t>单位</w:t>
      </w:r>
      <w:r>
        <w:rPr>
          <w:rFonts w:hint="eastAsia" w:ascii="方正小标宋简体" w:hAnsi="方正小标宋简体" w:eastAsia="方正小标宋简体" w:cs="方正小标宋简体"/>
          <w:sz w:val="44"/>
          <w:szCs w:val="44"/>
        </w:rPr>
        <w:t>决算公开</w:t>
      </w:r>
    </w:p>
    <w:p>
      <w:pPr>
        <w:keepNext w:val="0"/>
        <w:keepLines w:val="0"/>
        <w:widowControl/>
        <w:suppressLineNumbers w:val="0"/>
        <w:spacing w:before="0" w:beforeAutospacing="1" w:after="0" w:afterAutospacing="1"/>
        <w:ind w:left="0" w:right="0"/>
        <w:jc w:val="both"/>
      </w:pPr>
      <w:r>
        <w:rPr>
          <w:rFonts w:hint="default" w:ascii="Times New Roman" w:hAnsi="Times New Roman" w:cs="Times New Roman"/>
          <w:sz w:val="21"/>
          <w:szCs w:val="21"/>
          <w:lang w:val="en-US"/>
        </w:rPr>
        <w:t> </w:t>
      </w:r>
    </w:p>
    <w:p>
      <w:pPr>
        <w:keepNext w:val="0"/>
        <w:keepLines w:val="0"/>
        <w:widowControl/>
        <w:suppressLineNumbers w:val="0"/>
        <w:spacing w:before="0" w:beforeAutospacing="0" w:after="120" w:afterAutospacing="0"/>
        <w:ind w:left="420" w:right="0" w:firstLine="420"/>
        <w:jc w:val="both"/>
      </w:pPr>
      <w:r>
        <w:rPr>
          <w:rFonts w:hint="default" w:ascii="Times New Roman" w:hAnsi="Times New Roman" w:cs="Times New Roman"/>
          <w:sz w:val="21"/>
          <w:szCs w:val="21"/>
          <w:lang w:val="en-US"/>
        </w:rPr>
        <w:t> </w:t>
      </w:r>
    </w:p>
    <w:p>
      <w:pPr>
        <w:keepNext w:val="0"/>
        <w:keepLines w:val="0"/>
        <w:widowControl/>
        <w:suppressLineNumbers w:val="0"/>
        <w:spacing w:before="0" w:beforeAutospacing="0" w:after="120" w:afterAutospacing="0"/>
        <w:ind w:left="420" w:right="0" w:firstLine="420"/>
        <w:jc w:val="both"/>
      </w:pPr>
      <w:r>
        <w:rPr>
          <w:rFonts w:hint="default" w:ascii="Times New Roman" w:hAnsi="Times New Roman" w:cs="Times New Roman"/>
          <w:sz w:val="21"/>
          <w:szCs w:val="21"/>
          <w:lang w:val="en-US"/>
        </w:rPr>
        <w:t xml:space="preserve">  </w:t>
      </w:r>
    </w:p>
    <w:p>
      <w:pPr>
        <w:keepNext w:val="0"/>
        <w:keepLines w:val="0"/>
        <w:widowControl/>
        <w:suppressLineNumbers w:val="0"/>
        <w:spacing w:before="0" w:beforeAutospacing="0" w:after="120" w:afterAutospacing="0"/>
        <w:ind w:left="420" w:right="0" w:firstLine="420"/>
        <w:jc w:val="both"/>
      </w:pPr>
      <w:r>
        <w:rPr>
          <w:rFonts w:hint="default" w:ascii="Times New Roman" w:hAnsi="Times New Roman" w:cs="Times New Roman"/>
          <w:sz w:val="21"/>
          <w:szCs w:val="21"/>
          <w:lang w:val="en-US"/>
        </w:rPr>
        <w:t> </w:t>
      </w:r>
    </w:p>
    <w:p>
      <w:pPr>
        <w:keepNext w:val="0"/>
        <w:keepLines w:val="0"/>
        <w:widowControl/>
        <w:suppressLineNumbers w:val="0"/>
        <w:spacing w:before="0" w:beforeAutospacing="0" w:after="120" w:afterAutospacing="0"/>
        <w:ind w:left="420" w:right="0" w:firstLine="420"/>
        <w:jc w:val="both"/>
      </w:pPr>
      <w:r>
        <w:rPr>
          <w:rFonts w:hint="default" w:ascii="Times New Roman" w:hAnsi="Times New Roman" w:cs="Times New Roman"/>
          <w:sz w:val="21"/>
          <w:szCs w:val="21"/>
          <w:lang w:val="en-US"/>
        </w:rPr>
        <w:t> </w:t>
      </w:r>
    </w:p>
    <w:p>
      <w:pPr>
        <w:keepNext w:val="0"/>
        <w:keepLines w:val="0"/>
        <w:widowControl/>
        <w:suppressLineNumbers w:val="0"/>
        <w:spacing w:before="0" w:beforeAutospacing="0" w:after="120" w:afterAutospacing="0"/>
        <w:ind w:left="420" w:right="0" w:firstLine="420"/>
        <w:jc w:val="both"/>
      </w:pPr>
      <w:r>
        <w:rPr>
          <w:rFonts w:hint="default" w:ascii="Times New Roman" w:hAnsi="Times New Roman" w:cs="Times New Roman"/>
          <w:sz w:val="21"/>
          <w:szCs w:val="21"/>
          <w:lang w:val="en-US"/>
        </w:rPr>
        <w:t> </w:t>
      </w:r>
    </w:p>
    <w:p>
      <w:pPr>
        <w:keepNext w:val="0"/>
        <w:keepLines w:val="0"/>
        <w:widowControl/>
        <w:suppressLineNumbers w:val="0"/>
        <w:spacing w:before="0" w:beforeAutospacing="0" w:after="120" w:afterAutospacing="0"/>
        <w:ind w:left="420" w:right="0" w:firstLine="420"/>
        <w:jc w:val="both"/>
      </w:pPr>
      <w:r>
        <w:rPr>
          <w:rFonts w:hint="default" w:ascii="Times New Roman" w:hAnsi="Times New Roman" w:cs="Times New Roman"/>
          <w:sz w:val="21"/>
          <w:szCs w:val="21"/>
          <w:lang w:val="en-US"/>
        </w:rPr>
        <w:t> </w:t>
      </w:r>
    </w:p>
    <w:p>
      <w:pPr>
        <w:keepNext w:val="0"/>
        <w:keepLines w:val="0"/>
        <w:widowControl/>
        <w:suppressLineNumbers w:val="0"/>
        <w:spacing w:before="3" w:beforeAutospacing="0" w:after="120" w:afterAutospacing="0"/>
        <w:ind w:left="0" w:right="0" w:firstLine="200"/>
        <w:jc w:val="both"/>
      </w:pPr>
      <w:r>
        <w:rPr>
          <w:rFonts w:ascii="黑体" w:hAnsi="宋体" w:eastAsia="黑体" w:cs="黑体"/>
          <w:sz w:val="32"/>
          <w:szCs w:val="32"/>
          <w:lang w:val="en-US"/>
        </w:rPr>
        <w:t> </w:t>
      </w:r>
    </w:p>
    <w:p>
      <w:pPr>
        <w:keepNext w:val="0"/>
        <w:keepLines w:val="0"/>
        <w:widowControl/>
        <w:suppressLineNumbers w:val="0"/>
        <w:spacing w:before="3" w:beforeAutospacing="0" w:after="120" w:afterAutospacing="0"/>
        <w:ind w:left="0" w:right="0" w:firstLine="200"/>
        <w:jc w:val="both"/>
      </w:pPr>
      <w:r>
        <w:rPr>
          <w:color w:val="0000FF"/>
          <w:sz w:val="32"/>
          <w:szCs w:val="32"/>
          <w:lang w:val="en-US"/>
        </w:rPr>
        <w:t> </w:t>
      </w:r>
    </w:p>
    <w:p>
      <w:pPr>
        <w:keepNext w:val="0"/>
        <w:keepLines w:val="0"/>
        <w:widowControl/>
        <w:suppressLineNumbers w:val="0"/>
        <w:spacing w:before="3" w:beforeAutospacing="0" w:after="120" w:afterAutospacing="0"/>
        <w:ind w:left="0" w:right="0" w:firstLine="200"/>
        <w:jc w:val="both"/>
      </w:pPr>
      <w:r>
        <w:rPr>
          <w:color w:val="0000FF"/>
          <w:sz w:val="32"/>
          <w:szCs w:val="32"/>
          <w:lang w:val="en-US"/>
        </w:rPr>
        <w:t> </w:t>
      </w:r>
    </w:p>
    <w:p>
      <w:pPr>
        <w:keepNext w:val="0"/>
        <w:keepLines w:val="0"/>
        <w:widowControl/>
        <w:suppressLineNumbers w:val="0"/>
        <w:spacing w:before="3" w:beforeAutospacing="0" w:after="120" w:afterAutospacing="0"/>
        <w:ind w:left="0" w:right="0" w:firstLine="200"/>
        <w:jc w:val="both"/>
      </w:pPr>
      <w:r>
        <w:rPr>
          <w:color w:val="0000FF"/>
          <w:sz w:val="32"/>
          <w:szCs w:val="32"/>
          <w:lang w:val="en-US"/>
        </w:rPr>
        <w:t> </w:t>
      </w:r>
    </w:p>
    <w:p>
      <w:pPr>
        <w:keepNext w:val="0"/>
        <w:keepLines w:val="0"/>
        <w:widowControl/>
        <w:suppressLineNumbers w:val="0"/>
        <w:spacing w:before="3" w:beforeAutospacing="0" w:after="120" w:afterAutospacing="0"/>
        <w:ind w:left="0" w:right="0" w:firstLine="200"/>
        <w:jc w:val="both"/>
      </w:pPr>
      <w:r>
        <w:rPr>
          <w:rFonts w:hint="default" w:ascii="Times New Roman" w:hAnsi="Times New Roman" w:cs="Times New Roman"/>
          <w:sz w:val="10"/>
          <w:szCs w:val="10"/>
          <w:lang w:val="en-US"/>
        </w:rPr>
        <w:t> </w:t>
      </w:r>
    </w:p>
    <w:p>
      <w:pPr>
        <w:keepNext w:val="0"/>
        <w:keepLines w:val="0"/>
        <w:widowControl/>
        <w:suppressLineNumbers w:val="0"/>
        <w:spacing w:before="0" w:beforeAutospacing="1" w:after="0" w:afterAutospacing="1"/>
        <w:ind w:left="0" w:right="0"/>
        <w:jc w:val="center"/>
      </w:pPr>
      <w:r>
        <w:rPr>
          <w:b/>
          <w:bCs/>
          <w:sz w:val="48"/>
          <w:szCs w:val="48"/>
        </w:rPr>
        <w:t>目</w:t>
      </w:r>
      <w:r>
        <w:rPr>
          <w:rFonts w:hint="default" w:ascii="Times New Roman" w:hAnsi="Times New Roman" w:cs="Times New Roman"/>
          <w:b/>
          <w:bCs/>
          <w:sz w:val="48"/>
          <w:szCs w:val="48"/>
          <w:lang w:val="en-US"/>
        </w:rPr>
        <w:t xml:space="preserve">  </w:t>
      </w:r>
      <w:r>
        <w:rPr>
          <w:b/>
          <w:bCs/>
          <w:sz w:val="48"/>
          <w:szCs w:val="48"/>
        </w:rPr>
        <w:t>录</w:t>
      </w:r>
    </w:p>
    <w:p>
      <w:pPr>
        <w:keepNext w:val="0"/>
        <w:keepLines w:val="0"/>
        <w:widowControl/>
        <w:suppressLineNumbers w:val="0"/>
        <w:spacing w:before="0" w:beforeAutospacing="1" w:after="0" w:afterAutospacing="1" w:line="360" w:lineRule="auto"/>
        <w:ind w:left="0" w:right="0"/>
        <w:jc w:val="both"/>
      </w:pPr>
      <w:r>
        <w:rPr>
          <w:rFonts w:hint="eastAsia" w:ascii="黑体" w:hAnsi="宋体" w:eastAsia="黑体" w:cs="黑体"/>
          <w:sz w:val="32"/>
          <w:szCs w:val="32"/>
        </w:rPr>
        <w:t>第一部分</w:t>
      </w:r>
      <w:r>
        <w:rPr>
          <w:rFonts w:hint="eastAsia" w:ascii="黑体" w:hAnsi="宋体" w:eastAsia="黑体" w:cs="黑体"/>
          <w:sz w:val="32"/>
          <w:szCs w:val="32"/>
          <w:lang w:val="en-US"/>
        </w:rPr>
        <w:t xml:space="preserve"> 单位</w:t>
      </w:r>
      <w:r>
        <w:rPr>
          <w:rFonts w:hint="eastAsia" w:ascii="黑体" w:hAnsi="宋体" w:eastAsia="黑体" w:cs="黑体"/>
          <w:sz w:val="32"/>
          <w:szCs w:val="32"/>
        </w:rPr>
        <w:t>概况</w:t>
      </w:r>
    </w:p>
    <w:p>
      <w:pPr>
        <w:keepNext w:val="0"/>
        <w:keepLines w:val="0"/>
        <w:widowControl/>
        <w:suppressLineNumbers w:val="0"/>
        <w:spacing w:before="0" w:beforeAutospacing="1" w:after="0" w:afterAutospacing="1" w:line="360" w:lineRule="auto"/>
        <w:ind w:left="0" w:right="0"/>
        <w:jc w:val="both"/>
      </w:pPr>
      <w:r>
        <w:rPr>
          <w:sz w:val="32"/>
          <w:szCs w:val="32"/>
        </w:rPr>
        <w:t>一、主要职能、职责</w:t>
      </w:r>
    </w:p>
    <w:p>
      <w:pPr>
        <w:keepNext w:val="0"/>
        <w:keepLines w:val="0"/>
        <w:widowControl/>
        <w:suppressLineNumbers w:val="0"/>
        <w:spacing w:before="6" w:beforeAutospacing="0" w:after="120" w:afterAutospacing="0" w:line="228" w:lineRule="auto"/>
        <w:ind w:left="0" w:right="1670"/>
        <w:jc w:val="both"/>
      </w:pPr>
      <w:r>
        <w:rPr>
          <w:sz w:val="32"/>
          <w:szCs w:val="32"/>
        </w:rPr>
        <w:t>二、</w:t>
      </w:r>
      <w:r>
        <w:rPr>
          <w:sz w:val="32"/>
          <w:szCs w:val="32"/>
          <w:lang w:val="en-US"/>
        </w:rPr>
        <w:t>单位</w:t>
      </w:r>
      <w:r>
        <w:rPr>
          <w:sz w:val="32"/>
          <w:szCs w:val="32"/>
        </w:rPr>
        <w:t>机构设置及决算单位构成情况</w:t>
      </w:r>
    </w:p>
    <w:p>
      <w:pPr>
        <w:keepNext w:val="0"/>
        <w:keepLines w:val="0"/>
        <w:widowControl/>
        <w:suppressLineNumbers w:val="0"/>
        <w:spacing w:before="0" w:beforeAutospacing="1" w:after="0" w:afterAutospacing="1" w:line="360" w:lineRule="auto"/>
        <w:ind w:left="0" w:right="0"/>
        <w:jc w:val="both"/>
      </w:pPr>
      <w:r>
        <w:rPr>
          <w:rFonts w:hint="eastAsia" w:ascii="黑体" w:hAnsi="宋体" w:eastAsia="黑体" w:cs="黑体"/>
          <w:sz w:val="32"/>
          <w:szCs w:val="32"/>
        </w:rPr>
        <w:t>第二部分</w:t>
      </w:r>
      <w:r>
        <w:rPr>
          <w:rFonts w:hint="eastAsia" w:ascii="黑体" w:hAnsi="宋体" w:eastAsia="黑体" w:cs="黑体"/>
          <w:sz w:val="32"/>
          <w:szCs w:val="32"/>
          <w:lang w:val="en-US"/>
        </w:rPr>
        <w:t xml:space="preserve"> 2022</w:t>
      </w:r>
      <w:r>
        <w:rPr>
          <w:rFonts w:hint="eastAsia" w:ascii="黑体" w:hAnsi="宋体" w:eastAsia="黑体" w:cs="黑体"/>
          <w:sz w:val="32"/>
          <w:szCs w:val="32"/>
        </w:rPr>
        <w:t>年度</w:t>
      </w:r>
      <w:r>
        <w:rPr>
          <w:rFonts w:hint="eastAsia" w:ascii="黑体" w:hAnsi="宋体" w:eastAsia="黑体" w:cs="黑体"/>
          <w:sz w:val="32"/>
          <w:szCs w:val="32"/>
          <w:lang w:val="en-US"/>
        </w:rPr>
        <w:t>单位</w:t>
      </w:r>
      <w:r>
        <w:rPr>
          <w:rFonts w:hint="eastAsia" w:ascii="黑体" w:hAnsi="宋体" w:eastAsia="黑体" w:cs="黑体"/>
          <w:sz w:val="32"/>
          <w:szCs w:val="32"/>
        </w:rPr>
        <w:t>决算情况说明</w:t>
      </w:r>
    </w:p>
    <w:p>
      <w:pPr>
        <w:keepNext w:val="0"/>
        <w:keepLines w:val="0"/>
        <w:widowControl/>
        <w:suppressLineNumbers w:val="0"/>
        <w:spacing w:before="0" w:beforeAutospacing="1" w:after="0" w:afterAutospacing="1" w:line="360" w:lineRule="auto"/>
        <w:ind w:left="0" w:right="0"/>
        <w:jc w:val="both"/>
      </w:pPr>
      <w:r>
        <w:rPr>
          <w:sz w:val="32"/>
          <w:szCs w:val="32"/>
        </w:rPr>
        <w:t>一、收入支出决算总体情况说明</w:t>
      </w:r>
    </w:p>
    <w:p>
      <w:pPr>
        <w:keepNext w:val="0"/>
        <w:keepLines w:val="0"/>
        <w:widowControl/>
        <w:suppressLineNumbers w:val="0"/>
        <w:spacing w:before="0" w:beforeAutospacing="1" w:after="0" w:afterAutospacing="1" w:line="360" w:lineRule="auto"/>
        <w:ind w:left="0" w:right="0"/>
        <w:jc w:val="both"/>
      </w:pPr>
      <w:r>
        <w:rPr>
          <w:sz w:val="32"/>
          <w:szCs w:val="32"/>
        </w:rPr>
        <w:t>二、收入决算情况说明</w:t>
      </w:r>
    </w:p>
    <w:p>
      <w:pPr>
        <w:keepNext w:val="0"/>
        <w:keepLines w:val="0"/>
        <w:widowControl/>
        <w:suppressLineNumbers w:val="0"/>
        <w:spacing w:before="0" w:beforeAutospacing="1" w:after="0" w:afterAutospacing="1" w:line="360" w:lineRule="auto"/>
        <w:ind w:left="0" w:right="0"/>
        <w:jc w:val="both"/>
      </w:pPr>
      <w:r>
        <w:rPr>
          <w:sz w:val="32"/>
          <w:szCs w:val="32"/>
        </w:rPr>
        <w:t>三、支出决算情况说明</w:t>
      </w:r>
    </w:p>
    <w:p>
      <w:pPr>
        <w:keepNext w:val="0"/>
        <w:keepLines w:val="0"/>
        <w:widowControl/>
        <w:suppressLineNumbers w:val="0"/>
        <w:spacing w:before="0" w:beforeAutospacing="1" w:after="0" w:afterAutospacing="1" w:line="360" w:lineRule="auto"/>
        <w:ind w:left="0" w:right="0"/>
        <w:jc w:val="both"/>
      </w:pPr>
      <w:r>
        <w:rPr>
          <w:sz w:val="32"/>
          <w:szCs w:val="32"/>
        </w:rPr>
        <w:t>四、财政拨款收入支出决算总体情况说明</w:t>
      </w:r>
    </w:p>
    <w:p>
      <w:pPr>
        <w:keepNext w:val="0"/>
        <w:keepLines w:val="0"/>
        <w:widowControl/>
        <w:suppressLineNumbers w:val="0"/>
        <w:spacing w:before="0" w:beforeAutospacing="1" w:after="0" w:afterAutospacing="1" w:line="360" w:lineRule="auto"/>
        <w:ind w:left="0" w:right="0"/>
        <w:jc w:val="both"/>
      </w:pPr>
      <w:r>
        <w:rPr>
          <w:sz w:val="32"/>
          <w:szCs w:val="32"/>
        </w:rPr>
        <w:t>五、一般公共预算支出决算情况说明</w:t>
      </w:r>
    </w:p>
    <w:p>
      <w:pPr>
        <w:keepNext w:val="0"/>
        <w:keepLines w:val="0"/>
        <w:widowControl/>
        <w:suppressLineNumbers w:val="0"/>
        <w:spacing w:before="0" w:beforeAutospacing="1" w:after="0" w:afterAutospacing="1" w:line="360" w:lineRule="auto"/>
        <w:ind w:left="0" w:right="0"/>
        <w:jc w:val="both"/>
      </w:pPr>
      <w:r>
        <w:rPr>
          <w:sz w:val="32"/>
          <w:szCs w:val="32"/>
        </w:rPr>
        <w:t>六、一般公共预算基本支出决算情况说明</w:t>
      </w:r>
    </w:p>
    <w:p>
      <w:pPr>
        <w:keepNext w:val="0"/>
        <w:keepLines w:val="0"/>
        <w:widowControl/>
        <w:suppressLineNumbers w:val="0"/>
        <w:spacing w:before="0" w:beforeAutospacing="1" w:after="0" w:afterAutospacing="1" w:line="360" w:lineRule="auto"/>
        <w:ind w:left="0" w:right="0"/>
        <w:jc w:val="both"/>
      </w:pPr>
      <w:r>
        <w:rPr>
          <w:sz w:val="32"/>
          <w:szCs w:val="32"/>
        </w:rPr>
        <w:t>七、一般公共预算项目支出决算情况说明</w:t>
      </w:r>
    </w:p>
    <w:p>
      <w:pPr>
        <w:keepNext w:val="0"/>
        <w:keepLines w:val="0"/>
        <w:widowControl/>
        <w:suppressLineNumbers w:val="0"/>
        <w:spacing w:before="0" w:beforeAutospacing="1" w:after="0" w:afterAutospacing="1" w:line="360" w:lineRule="auto"/>
        <w:ind w:left="0" w:right="0"/>
        <w:jc w:val="both"/>
      </w:pPr>
      <w:r>
        <w:rPr>
          <w:sz w:val="32"/>
          <w:szCs w:val="32"/>
        </w:rPr>
        <w:t>八、财政拨款</w:t>
      </w:r>
      <w:r>
        <w:rPr>
          <w:rFonts w:hint="default" w:ascii="Times New Roman" w:hAnsi="Times New Roman" w:cs="Times New Roman"/>
          <w:sz w:val="32"/>
          <w:szCs w:val="32"/>
          <w:lang w:val="en-US"/>
        </w:rPr>
        <w:t>“</w:t>
      </w:r>
      <w:r>
        <w:rPr>
          <w:sz w:val="32"/>
          <w:szCs w:val="32"/>
        </w:rPr>
        <w:t>三公</w:t>
      </w:r>
      <w:r>
        <w:rPr>
          <w:rFonts w:hint="default" w:ascii="Times New Roman" w:hAnsi="Times New Roman" w:cs="Times New Roman"/>
          <w:sz w:val="32"/>
          <w:szCs w:val="32"/>
          <w:lang w:val="en-US"/>
        </w:rPr>
        <w:t>”</w:t>
      </w:r>
      <w:r>
        <w:rPr>
          <w:sz w:val="32"/>
          <w:szCs w:val="32"/>
        </w:rPr>
        <w:t>经费支出决算情况说明</w:t>
      </w:r>
    </w:p>
    <w:p>
      <w:pPr>
        <w:keepNext w:val="0"/>
        <w:keepLines w:val="0"/>
        <w:widowControl/>
        <w:suppressLineNumbers w:val="0"/>
        <w:spacing w:before="0" w:beforeAutospacing="1" w:after="0" w:afterAutospacing="1" w:line="360" w:lineRule="auto"/>
        <w:ind w:left="0" w:right="0"/>
        <w:jc w:val="both"/>
      </w:pPr>
      <w:r>
        <w:rPr>
          <w:sz w:val="32"/>
          <w:szCs w:val="32"/>
        </w:rPr>
        <w:t>九、政府性基金预算财政拨款支出决算情况说明</w:t>
      </w:r>
    </w:p>
    <w:p>
      <w:pPr>
        <w:keepNext w:val="0"/>
        <w:keepLines w:val="0"/>
        <w:widowControl/>
        <w:suppressLineNumbers w:val="0"/>
        <w:spacing w:before="0" w:beforeAutospacing="1" w:after="0" w:afterAutospacing="1" w:line="360" w:lineRule="auto"/>
        <w:ind w:left="0" w:right="0"/>
        <w:jc w:val="both"/>
      </w:pPr>
      <w:r>
        <w:rPr>
          <w:sz w:val="32"/>
          <w:szCs w:val="32"/>
        </w:rPr>
        <w:t>十、国有资本经营预算财政拨款支出决算情况说明</w:t>
      </w:r>
    </w:p>
    <w:p>
      <w:pPr>
        <w:keepNext w:val="0"/>
        <w:keepLines w:val="0"/>
        <w:widowControl/>
        <w:suppressLineNumbers w:val="0"/>
        <w:spacing w:before="0" w:beforeAutospacing="1" w:after="0" w:afterAutospacing="1" w:line="360" w:lineRule="auto"/>
        <w:ind w:left="0" w:right="0"/>
        <w:jc w:val="both"/>
      </w:pPr>
      <w:r>
        <w:rPr>
          <w:sz w:val="32"/>
          <w:szCs w:val="32"/>
        </w:rPr>
        <w:t>十一、项目支出决算情况说明</w:t>
      </w:r>
    </w:p>
    <w:p>
      <w:pPr>
        <w:keepNext w:val="0"/>
        <w:keepLines w:val="0"/>
        <w:widowControl/>
        <w:suppressLineNumbers w:val="0"/>
        <w:spacing w:before="0" w:beforeAutospacing="1" w:after="0" w:afterAutospacing="1" w:line="360" w:lineRule="auto"/>
        <w:ind w:left="0" w:right="0"/>
        <w:jc w:val="both"/>
      </w:pPr>
      <w:r>
        <w:rPr>
          <w:sz w:val="32"/>
          <w:szCs w:val="32"/>
        </w:rPr>
        <w:t>十二、机构运行经费支出决算情况说明</w:t>
      </w:r>
    </w:p>
    <w:p>
      <w:pPr>
        <w:keepNext w:val="0"/>
        <w:keepLines w:val="0"/>
        <w:widowControl/>
        <w:suppressLineNumbers w:val="0"/>
        <w:spacing w:before="0" w:beforeAutospacing="1" w:after="0" w:afterAutospacing="1" w:line="360" w:lineRule="auto"/>
        <w:ind w:left="0" w:right="0"/>
        <w:jc w:val="both"/>
      </w:pPr>
      <w:r>
        <w:rPr>
          <w:sz w:val="32"/>
          <w:szCs w:val="32"/>
        </w:rPr>
        <w:t>十三、政府采购支出决算情况说明</w:t>
      </w:r>
    </w:p>
    <w:p>
      <w:pPr>
        <w:keepNext w:val="0"/>
        <w:keepLines w:val="0"/>
        <w:widowControl/>
        <w:suppressLineNumbers w:val="0"/>
        <w:spacing w:before="0" w:beforeAutospacing="1" w:after="0" w:afterAutospacing="1" w:line="360" w:lineRule="auto"/>
        <w:ind w:left="0" w:right="0"/>
        <w:jc w:val="both"/>
      </w:pPr>
      <w:r>
        <w:rPr>
          <w:sz w:val="32"/>
          <w:szCs w:val="32"/>
        </w:rPr>
        <w:t>十四、国有资产占用情况说明</w:t>
      </w:r>
    </w:p>
    <w:p>
      <w:pPr>
        <w:keepNext w:val="0"/>
        <w:keepLines w:val="0"/>
        <w:widowControl/>
        <w:suppressLineNumbers w:val="0"/>
        <w:spacing w:before="0" w:beforeAutospacing="1" w:after="0" w:afterAutospacing="1" w:line="360" w:lineRule="auto"/>
        <w:ind w:left="0" w:right="0"/>
        <w:jc w:val="both"/>
      </w:pPr>
      <w:r>
        <w:rPr>
          <w:sz w:val="32"/>
          <w:szCs w:val="32"/>
        </w:rPr>
        <w:t>十五、预算绩效情况说明</w:t>
      </w:r>
    </w:p>
    <w:p>
      <w:pPr>
        <w:keepNext w:val="0"/>
        <w:keepLines w:val="0"/>
        <w:widowControl/>
        <w:suppressLineNumbers w:val="0"/>
        <w:spacing w:before="0" w:beforeAutospacing="1" w:after="0" w:afterAutospacing="1" w:line="360" w:lineRule="auto"/>
        <w:ind w:left="0" w:right="0"/>
        <w:jc w:val="both"/>
      </w:pPr>
      <w:r>
        <w:rPr>
          <w:rFonts w:hint="eastAsia" w:ascii="黑体" w:hAnsi="宋体" w:eastAsia="黑体" w:cs="黑体"/>
          <w:sz w:val="32"/>
          <w:szCs w:val="32"/>
        </w:rPr>
        <w:t>第三部分 名词解释</w:t>
      </w:r>
    </w:p>
    <w:p>
      <w:pPr>
        <w:keepNext w:val="0"/>
        <w:keepLines w:val="0"/>
        <w:widowControl/>
        <w:suppressLineNumbers w:val="0"/>
        <w:spacing w:before="0" w:beforeAutospacing="1" w:after="0" w:afterAutospacing="1" w:line="600" w:lineRule="atLeast"/>
        <w:ind w:left="0" w:right="0"/>
        <w:jc w:val="both"/>
      </w:pPr>
      <w:r>
        <w:rPr>
          <w:rFonts w:hint="eastAsia" w:ascii="黑体" w:hAnsi="宋体" w:eastAsia="黑体" w:cs="黑体"/>
          <w:sz w:val="32"/>
          <w:szCs w:val="32"/>
        </w:rPr>
        <w:t>第四部分 决算公开联系方式及信息反馈渠道</w:t>
      </w:r>
    </w:p>
    <w:p>
      <w:pPr>
        <w:keepNext w:val="0"/>
        <w:keepLines w:val="0"/>
        <w:widowControl/>
        <w:suppressLineNumbers w:val="0"/>
        <w:spacing w:before="0" w:beforeAutospacing="1" w:after="0" w:afterAutospacing="1" w:line="360" w:lineRule="auto"/>
        <w:ind w:left="0" w:right="0"/>
        <w:jc w:val="both"/>
      </w:pPr>
      <w:r>
        <w:rPr>
          <w:rFonts w:hint="eastAsia" w:ascii="黑体" w:hAnsi="宋体" w:eastAsia="黑体" w:cs="黑体"/>
          <w:sz w:val="32"/>
          <w:szCs w:val="32"/>
        </w:rPr>
        <w:t>第五部分</w:t>
      </w:r>
      <w:r>
        <w:rPr>
          <w:rFonts w:hint="eastAsia" w:ascii="黑体" w:hAnsi="宋体" w:eastAsia="黑体" w:cs="黑体"/>
          <w:sz w:val="32"/>
          <w:szCs w:val="32"/>
          <w:lang w:val="en-US"/>
        </w:rPr>
        <w:t xml:space="preserve"> 2022</w:t>
      </w:r>
      <w:r>
        <w:rPr>
          <w:rFonts w:hint="eastAsia" w:ascii="黑体" w:hAnsi="宋体" w:eastAsia="黑体" w:cs="黑体"/>
          <w:sz w:val="32"/>
          <w:szCs w:val="32"/>
        </w:rPr>
        <w:t>年度</w:t>
      </w:r>
      <w:r>
        <w:rPr>
          <w:rFonts w:hint="eastAsia" w:ascii="黑体" w:hAnsi="宋体" w:eastAsia="黑体" w:cs="黑体"/>
          <w:sz w:val="32"/>
          <w:szCs w:val="32"/>
          <w:lang w:val="en-US"/>
        </w:rPr>
        <w:t>单位</w:t>
      </w:r>
      <w:r>
        <w:rPr>
          <w:rFonts w:hint="eastAsia" w:ascii="黑体" w:hAnsi="宋体" w:eastAsia="黑体" w:cs="黑体"/>
          <w:sz w:val="32"/>
          <w:szCs w:val="32"/>
        </w:rPr>
        <w:t>决算表</w:t>
      </w:r>
    </w:p>
    <w:p>
      <w:pPr>
        <w:keepNext w:val="0"/>
        <w:keepLines w:val="0"/>
        <w:widowControl/>
        <w:suppressLineNumbers w:val="0"/>
        <w:spacing w:before="0" w:beforeAutospacing="1" w:after="0" w:afterAutospacing="1" w:line="360" w:lineRule="auto"/>
        <w:ind w:left="0" w:right="0"/>
        <w:jc w:val="both"/>
      </w:pPr>
      <w:r>
        <w:rPr>
          <w:sz w:val="32"/>
          <w:szCs w:val="32"/>
        </w:rPr>
        <w:t>一、收入支出决算总表</w:t>
      </w:r>
    </w:p>
    <w:p>
      <w:pPr>
        <w:keepNext w:val="0"/>
        <w:keepLines w:val="0"/>
        <w:widowControl/>
        <w:suppressLineNumbers w:val="0"/>
        <w:spacing w:before="0" w:beforeAutospacing="1" w:after="0" w:afterAutospacing="1" w:line="360" w:lineRule="auto"/>
        <w:ind w:left="0" w:right="0"/>
        <w:jc w:val="both"/>
      </w:pPr>
      <w:r>
        <w:rPr>
          <w:sz w:val="32"/>
          <w:szCs w:val="32"/>
        </w:rPr>
        <w:t>二、收入决算表</w:t>
      </w:r>
    </w:p>
    <w:p>
      <w:pPr>
        <w:keepNext w:val="0"/>
        <w:keepLines w:val="0"/>
        <w:widowControl/>
        <w:suppressLineNumbers w:val="0"/>
        <w:spacing w:before="0" w:beforeAutospacing="1" w:after="0" w:afterAutospacing="1" w:line="360" w:lineRule="auto"/>
        <w:ind w:left="0" w:right="0"/>
        <w:jc w:val="both"/>
      </w:pPr>
      <w:r>
        <w:rPr>
          <w:sz w:val="32"/>
          <w:szCs w:val="32"/>
        </w:rPr>
        <w:t>三、支出决算表</w:t>
      </w:r>
    </w:p>
    <w:p>
      <w:pPr>
        <w:keepNext w:val="0"/>
        <w:keepLines w:val="0"/>
        <w:widowControl/>
        <w:suppressLineNumbers w:val="0"/>
        <w:spacing w:before="0" w:beforeAutospacing="1" w:after="0" w:afterAutospacing="1" w:line="360" w:lineRule="auto"/>
        <w:ind w:left="0" w:right="0"/>
        <w:jc w:val="both"/>
      </w:pPr>
      <w:r>
        <w:rPr>
          <w:sz w:val="32"/>
          <w:szCs w:val="32"/>
        </w:rPr>
        <w:t>四、财政拨款收入支出决算总表</w:t>
      </w:r>
    </w:p>
    <w:p>
      <w:pPr>
        <w:keepNext w:val="0"/>
        <w:keepLines w:val="0"/>
        <w:widowControl/>
        <w:suppressLineNumbers w:val="0"/>
        <w:spacing w:before="0" w:beforeAutospacing="1" w:after="0" w:afterAutospacing="1" w:line="360" w:lineRule="auto"/>
        <w:ind w:left="0" w:right="0"/>
        <w:jc w:val="both"/>
      </w:pPr>
      <w:r>
        <w:rPr>
          <w:sz w:val="32"/>
          <w:szCs w:val="32"/>
        </w:rPr>
        <w:t>五、项目收入支出决算表</w:t>
      </w:r>
    </w:p>
    <w:p>
      <w:pPr>
        <w:keepNext w:val="0"/>
        <w:keepLines w:val="0"/>
        <w:widowControl/>
        <w:suppressLineNumbers w:val="0"/>
        <w:spacing w:before="0" w:beforeAutospacing="1" w:after="0" w:afterAutospacing="1" w:line="360" w:lineRule="auto"/>
        <w:ind w:left="0" w:right="0"/>
        <w:jc w:val="both"/>
      </w:pPr>
      <w:r>
        <w:rPr>
          <w:sz w:val="32"/>
          <w:szCs w:val="32"/>
        </w:rPr>
        <w:t>六、一般公共预算财政拨款支出决算表</w:t>
      </w:r>
    </w:p>
    <w:p>
      <w:pPr>
        <w:keepNext w:val="0"/>
        <w:keepLines w:val="0"/>
        <w:widowControl/>
        <w:suppressLineNumbers w:val="0"/>
        <w:spacing w:before="0" w:beforeAutospacing="1" w:after="0" w:afterAutospacing="1" w:line="360" w:lineRule="auto"/>
        <w:ind w:left="0" w:right="0"/>
        <w:jc w:val="both"/>
      </w:pPr>
      <w:r>
        <w:rPr>
          <w:sz w:val="32"/>
          <w:szCs w:val="32"/>
        </w:rPr>
        <w:t>七、一般公共预算财政拨款基本支出决算明细表</w:t>
      </w:r>
    </w:p>
    <w:p>
      <w:pPr>
        <w:keepNext w:val="0"/>
        <w:keepLines w:val="0"/>
        <w:widowControl/>
        <w:suppressLineNumbers w:val="0"/>
        <w:spacing w:before="0" w:beforeAutospacing="1" w:after="0" w:afterAutospacing="1" w:line="360" w:lineRule="auto"/>
        <w:ind w:left="0" w:right="0"/>
        <w:jc w:val="both"/>
      </w:pPr>
      <w:r>
        <w:rPr>
          <w:color w:val="000000"/>
          <w:sz w:val="32"/>
          <w:szCs w:val="32"/>
        </w:rPr>
        <w:t>八、一般公共预算财政拨款项目支出决算明细表</w:t>
      </w:r>
    </w:p>
    <w:p>
      <w:pPr>
        <w:keepNext w:val="0"/>
        <w:keepLines w:val="0"/>
        <w:widowControl/>
        <w:suppressLineNumbers w:val="0"/>
        <w:spacing w:before="0" w:beforeAutospacing="1" w:after="0" w:afterAutospacing="1" w:line="360" w:lineRule="auto"/>
        <w:ind w:left="0" w:right="0"/>
        <w:jc w:val="both"/>
      </w:pPr>
      <w:r>
        <w:rPr>
          <w:color w:val="000000"/>
          <w:sz w:val="32"/>
          <w:szCs w:val="32"/>
        </w:rPr>
        <w:t>九、政府性基金预算财政拨款收入支出决算表</w:t>
      </w:r>
    </w:p>
    <w:p>
      <w:pPr>
        <w:keepNext w:val="0"/>
        <w:keepLines w:val="0"/>
        <w:widowControl/>
        <w:suppressLineNumbers w:val="0"/>
        <w:spacing w:before="0" w:beforeAutospacing="1" w:after="0" w:afterAutospacing="1" w:line="360" w:lineRule="auto"/>
        <w:ind w:left="0" w:right="0"/>
        <w:jc w:val="both"/>
      </w:pPr>
      <w:r>
        <w:rPr>
          <w:color w:val="000000"/>
          <w:sz w:val="32"/>
          <w:szCs w:val="32"/>
        </w:rPr>
        <w:t>十、国有资本经营预算财政拨款支出决算表</w:t>
      </w:r>
    </w:p>
    <w:p>
      <w:pPr>
        <w:keepNext w:val="0"/>
        <w:keepLines w:val="0"/>
        <w:widowControl/>
        <w:suppressLineNumbers w:val="0"/>
        <w:spacing w:before="0" w:beforeAutospacing="1" w:after="0" w:afterAutospacing="1" w:line="360" w:lineRule="auto"/>
        <w:ind w:left="0" w:right="0"/>
        <w:jc w:val="both"/>
      </w:pPr>
      <w:r>
        <w:rPr>
          <w:color w:val="000000"/>
          <w:sz w:val="32"/>
          <w:szCs w:val="32"/>
        </w:rPr>
        <w:t>十一、财政拨款</w:t>
      </w:r>
      <w:r>
        <w:rPr>
          <w:rFonts w:hint="default" w:ascii="Times New Roman" w:hAnsi="Times New Roman" w:cs="Times New Roman"/>
          <w:color w:val="000000"/>
          <w:sz w:val="32"/>
          <w:szCs w:val="32"/>
          <w:lang w:val="en-US"/>
        </w:rPr>
        <w:t>“</w:t>
      </w:r>
      <w:r>
        <w:rPr>
          <w:color w:val="000000"/>
          <w:sz w:val="32"/>
          <w:szCs w:val="32"/>
        </w:rPr>
        <w:t>三公</w:t>
      </w:r>
      <w:r>
        <w:rPr>
          <w:rFonts w:hint="default" w:ascii="Times New Roman" w:hAnsi="Times New Roman" w:cs="Times New Roman"/>
          <w:color w:val="000000"/>
          <w:sz w:val="32"/>
          <w:szCs w:val="32"/>
          <w:lang w:val="en-US"/>
        </w:rPr>
        <w:t>”</w:t>
      </w:r>
      <w:r>
        <w:rPr>
          <w:color w:val="000000"/>
          <w:sz w:val="32"/>
          <w:szCs w:val="32"/>
        </w:rPr>
        <w:t>经费支出决算表</w:t>
      </w:r>
    </w:p>
    <w:p>
      <w:pPr>
        <w:keepNext w:val="0"/>
        <w:keepLines w:val="0"/>
        <w:widowControl/>
        <w:suppressLineNumbers w:val="0"/>
        <w:spacing w:before="0" w:beforeAutospacing="1" w:after="0" w:afterAutospacing="1" w:line="360" w:lineRule="auto"/>
        <w:ind w:left="0" w:right="0"/>
        <w:jc w:val="both"/>
      </w:pPr>
      <w:r>
        <w:rPr>
          <w:color w:val="000000"/>
          <w:sz w:val="32"/>
          <w:szCs w:val="32"/>
        </w:rPr>
        <w:t>十二、机构运行经费支出、国有资产占用情况及政府采购支出信息表</w:t>
      </w:r>
    </w:p>
    <w:p>
      <w:pPr>
        <w:keepNext w:val="0"/>
        <w:keepLines w:val="0"/>
        <w:widowControl/>
        <w:suppressLineNumbers w:val="0"/>
        <w:spacing w:before="0" w:beforeAutospacing="0" w:after="120" w:afterAutospacing="0"/>
        <w:ind w:left="420" w:right="0" w:firstLine="420"/>
        <w:jc w:val="both"/>
      </w:pPr>
      <w:r>
        <w:rPr>
          <w:rFonts w:hint="default" w:ascii="Times New Roman" w:hAnsi="Times New Roman" w:cs="Times New Roman"/>
          <w:sz w:val="21"/>
          <w:szCs w:val="21"/>
          <w:lang w:val="en-US"/>
        </w:rPr>
        <w:t> </w:t>
      </w:r>
    </w:p>
    <w:p>
      <w:pPr>
        <w:keepNext w:val="0"/>
        <w:keepLines w:val="0"/>
        <w:widowControl/>
        <w:suppressLineNumbers w:val="0"/>
        <w:spacing w:before="0" w:beforeAutospacing="1" w:after="0" w:afterAutospacing="1" w:line="360" w:lineRule="auto"/>
        <w:ind w:left="0" w:right="0"/>
        <w:jc w:val="both"/>
        <w:rPr>
          <w:rFonts w:hint="default" w:ascii="Times New Roman" w:hAnsi="Times New Roman" w:cs="Times New Roman"/>
          <w:sz w:val="32"/>
          <w:szCs w:val="32"/>
          <w:lang w:val="en-US"/>
        </w:rPr>
      </w:pPr>
      <w:r>
        <w:rPr>
          <w:rFonts w:hint="default" w:ascii="Times New Roman" w:hAnsi="Times New Roman" w:cs="Times New Roman"/>
          <w:sz w:val="32"/>
          <w:szCs w:val="32"/>
          <w:lang w:val="en-US"/>
        </w:rPr>
        <w:t> </w:t>
      </w:r>
    </w:p>
    <w:p>
      <w:pPr>
        <w:pStyle w:val="2"/>
        <w:rPr>
          <w:rFonts w:hint="default" w:ascii="Times New Roman" w:hAnsi="Times New Roman" w:cs="Times New Roman"/>
          <w:sz w:val="32"/>
          <w:szCs w:val="32"/>
          <w:lang w:val="en-US"/>
        </w:rPr>
      </w:pPr>
    </w:p>
    <w:p>
      <w:pPr>
        <w:rPr>
          <w:rFonts w:hint="default" w:ascii="Times New Roman" w:hAnsi="Times New Roman" w:cs="Times New Roman"/>
          <w:sz w:val="32"/>
          <w:szCs w:val="32"/>
          <w:lang w:val="en-US"/>
        </w:rPr>
      </w:pPr>
    </w:p>
    <w:p>
      <w:pPr>
        <w:pStyle w:val="2"/>
        <w:rPr>
          <w:rFonts w:hint="default" w:ascii="Times New Roman" w:hAnsi="Times New Roman" w:cs="Times New Roman"/>
          <w:sz w:val="32"/>
          <w:szCs w:val="32"/>
          <w:lang w:val="en-US"/>
        </w:rPr>
      </w:pPr>
    </w:p>
    <w:p>
      <w:pPr>
        <w:rPr>
          <w:rFonts w:hint="default" w:ascii="Times New Roman" w:hAnsi="Times New Roman" w:cs="Times New Roman"/>
          <w:sz w:val="32"/>
          <w:szCs w:val="32"/>
          <w:lang w:val="en-US"/>
        </w:rPr>
      </w:pPr>
    </w:p>
    <w:p>
      <w:pPr>
        <w:pStyle w:val="2"/>
      </w:pPr>
    </w:p>
    <w:p>
      <w:pPr>
        <w:keepNext w:val="0"/>
        <w:keepLines w:val="0"/>
        <w:widowControl/>
        <w:suppressLineNumbers w:val="0"/>
        <w:spacing w:before="0" w:beforeAutospacing="1" w:after="0" w:afterAutospacing="1" w:line="360" w:lineRule="auto"/>
        <w:ind w:left="0" w:right="0"/>
        <w:jc w:val="both"/>
      </w:pPr>
      <w:r>
        <w:rPr>
          <w:rFonts w:hint="default" w:ascii="Times New Roman" w:hAnsi="Times New Roman" w:cs="Times New Roman"/>
          <w:sz w:val="32"/>
          <w:szCs w:val="32"/>
          <w:lang w:val="en-US"/>
        </w:rPr>
        <w:t> </w:t>
      </w:r>
    </w:p>
    <w:p>
      <w:pPr>
        <w:keepNext w:val="0"/>
        <w:keepLines w:val="0"/>
        <w:widowControl/>
        <w:suppressLineNumbers w:val="0"/>
        <w:spacing w:before="0" w:beforeAutospacing="1" w:after="0" w:afterAutospacing="1" w:line="360" w:lineRule="auto"/>
        <w:ind w:left="0" w:right="0"/>
        <w:jc w:val="both"/>
      </w:pPr>
      <w:r>
        <w:rPr>
          <w:rFonts w:hint="default" w:ascii="Times New Roman" w:hAnsi="Times New Roman" w:cs="Times New Roman"/>
          <w:sz w:val="32"/>
          <w:szCs w:val="32"/>
          <w:lang w:val="en-US"/>
        </w:rPr>
        <w:t> </w:t>
      </w:r>
    </w:p>
    <w:p>
      <w:pPr>
        <w:pStyle w:val="5"/>
        <w:keepNext/>
        <w:keepLines w:val="0"/>
        <w:widowControl/>
        <w:suppressLineNumbers w:val="0"/>
        <w:spacing w:line="600" w:lineRule="atLeast"/>
        <w:jc w:val="center"/>
      </w:pPr>
      <w:r>
        <w:rPr>
          <w:rFonts w:hint="eastAsia" w:ascii="方正小标宋简体" w:hAnsi="方正小标宋简体" w:eastAsia="方正小标宋简体" w:cs="方正小标宋简体"/>
          <w:sz w:val="36"/>
          <w:szCs w:val="36"/>
        </w:rPr>
        <w:t>第一部分</w:t>
      </w:r>
      <w:r>
        <w:rPr>
          <w:rFonts w:hint="eastAsia" w:ascii="方正小标宋简体" w:hAnsi="方正小标宋简体" w:eastAsia="方正小标宋简体" w:cs="方正小标宋简体"/>
          <w:sz w:val="36"/>
          <w:szCs w:val="36"/>
          <w:lang w:val="en-US"/>
        </w:rPr>
        <w:t>  单位</w:t>
      </w:r>
      <w:r>
        <w:rPr>
          <w:rFonts w:hint="eastAsia" w:ascii="方正小标宋简体" w:hAnsi="方正小标宋简体" w:eastAsia="方正小标宋简体" w:cs="方正小标宋简体"/>
          <w:sz w:val="36"/>
          <w:szCs w:val="36"/>
        </w:rPr>
        <w:t>概况</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40" w:lineRule="exact"/>
        <w:ind w:left="424" w:right="0" w:firstLine="642" w:firstLineChars="200"/>
        <w:jc w:val="both"/>
        <w:textAlignment w:val="auto"/>
        <w:rPr>
          <w:rFonts w:hint="eastAsia" w:ascii="黑体" w:hAnsi="宋体" w:eastAsia="黑体" w:cs="黑体"/>
          <w:b/>
          <w:bCs/>
          <w:sz w:val="32"/>
          <w:szCs w:val="32"/>
        </w:rPr>
      </w:pPr>
      <w:r>
        <w:rPr>
          <w:rFonts w:hint="eastAsia" w:ascii="黑体" w:hAnsi="宋体" w:eastAsia="黑体" w:cs="黑体"/>
          <w:b/>
          <w:bCs/>
          <w:sz w:val="32"/>
          <w:szCs w:val="32"/>
        </w:rPr>
        <w:t>主要职能、职责</w:t>
      </w:r>
    </w:p>
    <w:p>
      <w:pPr>
        <w:keepNext w:val="0"/>
        <w:keepLines w:val="0"/>
        <w:widowControl/>
        <w:suppressLineNumbers w:val="0"/>
        <w:spacing w:before="0" w:beforeAutospacing="1" w:after="0" w:afterAutospacing="1" w:line="360" w:lineRule="auto"/>
        <w:ind w:left="0" w:right="0" w:firstLine="640"/>
        <w:jc w:val="both"/>
        <w:rPr>
          <w:rFonts w:hint="eastAsia"/>
          <w:sz w:val="32"/>
          <w:szCs w:val="32"/>
          <w:lang w:val="en-US" w:eastAsia="zh-CN"/>
        </w:rPr>
      </w:pPr>
      <w:r>
        <w:rPr>
          <w:rFonts w:hint="eastAsia"/>
          <w:sz w:val="32"/>
          <w:szCs w:val="32"/>
          <w:lang w:val="en-US" w:eastAsia="zh-CN"/>
        </w:rPr>
        <w:t>锡林郭勒盟安神医院是锡林郭勒盟民政局下属二级单位主要职能、职责如下：</w:t>
      </w:r>
    </w:p>
    <w:p>
      <w:pPr>
        <w:keepNext w:val="0"/>
        <w:keepLines w:val="0"/>
        <w:widowControl/>
        <w:suppressLineNumbers w:val="0"/>
        <w:spacing w:before="0" w:beforeAutospacing="1" w:after="0" w:afterAutospacing="1" w:line="360" w:lineRule="auto"/>
        <w:ind w:left="0" w:right="0" w:firstLine="640"/>
        <w:jc w:val="both"/>
        <w:rPr>
          <w:rFonts w:hint="eastAsia"/>
          <w:sz w:val="32"/>
          <w:szCs w:val="32"/>
          <w:lang w:val="en-US"/>
        </w:rPr>
      </w:pPr>
      <w:r>
        <w:rPr>
          <w:rFonts w:hint="eastAsia"/>
          <w:sz w:val="32"/>
          <w:szCs w:val="32"/>
          <w:lang w:val="en-US"/>
        </w:rPr>
        <w:t>1.</w:t>
      </w:r>
      <w:r>
        <w:rPr>
          <w:rFonts w:hint="eastAsia"/>
          <w:sz w:val="32"/>
          <w:szCs w:val="32"/>
          <w:lang w:eastAsia="zh-CN"/>
        </w:rPr>
        <w:t>履行民政部门的扶贫济困和上为国家分忧、下为民众解愁的职责，承担全盟的“三无”、“救助”、“流浪”精神病人，全盟优抚对象精神病人以及其他各类精神病人的收养收治任务。</w:t>
      </w:r>
    </w:p>
    <w:p>
      <w:pPr>
        <w:keepNext w:val="0"/>
        <w:keepLines w:val="0"/>
        <w:widowControl/>
        <w:suppressLineNumbers w:val="0"/>
        <w:spacing w:before="0" w:beforeAutospacing="1" w:after="0" w:afterAutospacing="1" w:line="360" w:lineRule="auto"/>
        <w:ind w:left="0" w:right="0" w:firstLine="640"/>
        <w:jc w:val="both"/>
        <w:rPr>
          <w:rFonts w:hint="eastAsia"/>
          <w:sz w:val="32"/>
          <w:szCs w:val="32"/>
          <w:lang w:val="en-US"/>
        </w:rPr>
      </w:pPr>
      <w:r>
        <w:rPr>
          <w:rFonts w:hint="eastAsia"/>
          <w:sz w:val="32"/>
          <w:szCs w:val="32"/>
          <w:lang w:val="en-US"/>
        </w:rPr>
        <w:t>2.</w:t>
      </w:r>
      <w:r>
        <w:rPr>
          <w:rFonts w:hint="eastAsia"/>
          <w:sz w:val="32"/>
          <w:szCs w:val="32"/>
          <w:lang w:eastAsia="zh-CN"/>
        </w:rPr>
        <w:t>承担锡林郭勒盟人民群众的心理健康促进和精神病的医疗、防治、康复及教学、科研任务。</w:t>
      </w:r>
    </w:p>
    <w:p>
      <w:pPr>
        <w:keepNext w:val="0"/>
        <w:keepLines w:val="0"/>
        <w:widowControl/>
        <w:suppressLineNumbers w:val="0"/>
        <w:spacing w:before="0" w:beforeAutospacing="1" w:after="0" w:afterAutospacing="1" w:line="360" w:lineRule="auto"/>
        <w:ind w:left="0" w:right="0" w:firstLine="640"/>
        <w:jc w:val="both"/>
        <w:rPr>
          <w:rFonts w:hint="eastAsia"/>
          <w:sz w:val="32"/>
          <w:szCs w:val="32"/>
          <w:lang w:val="en-US"/>
        </w:rPr>
      </w:pPr>
      <w:r>
        <w:rPr>
          <w:rFonts w:hint="eastAsia"/>
          <w:sz w:val="32"/>
          <w:szCs w:val="32"/>
          <w:lang w:val="en-US"/>
        </w:rPr>
        <w:t>3.</w:t>
      </w:r>
      <w:r>
        <w:rPr>
          <w:rFonts w:hint="eastAsia"/>
          <w:sz w:val="32"/>
          <w:szCs w:val="32"/>
          <w:lang w:eastAsia="zh-CN"/>
        </w:rPr>
        <w:t>承担全盟精神残疾鉴定工作。</w:t>
      </w:r>
    </w:p>
    <w:p>
      <w:pPr>
        <w:keepNext w:val="0"/>
        <w:keepLines w:val="0"/>
        <w:widowControl/>
        <w:suppressLineNumbers w:val="0"/>
        <w:spacing w:before="0" w:beforeAutospacing="1" w:after="0" w:afterAutospacing="1" w:line="360" w:lineRule="auto"/>
        <w:ind w:left="0" w:right="0" w:firstLine="640"/>
        <w:jc w:val="both"/>
        <w:rPr>
          <w:rFonts w:hint="eastAsia"/>
          <w:sz w:val="32"/>
          <w:szCs w:val="32"/>
          <w:lang w:val="en-US"/>
        </w:rPr>
      </w:pPr>
      <w:r>
        <w:rPr>
          <w:rFonts w:hint="eastAsia"/>
          <w:sz w:val="32"/>
          <w:szCs w:val="32"/>
          <w:lang w:val="en-US"/>
        </w:rPr>
        <w:t>4.</w:t>
      </w:r>
      <w:r>
        <w:rPr>
          <w:rFonts w:hint="eastAsia"/>
          <w:sz w:val="32"/>
          <w:szCs w:val="32"/>
          <w:lang w:eastAsia="zh-CN"/>
        </w:rPr>
        <w:t>承担全盟参保职工精神病的收治任务。</w:t>
      </w:r>
    </w:p>
    <w:p>
      <w:pPr>
        <w:keepNext w:val="0"/>
        <w:keepLines w:val="0"/>
        <w:widowControl/>
        <w:suppressLineNumbers w:val="0"/>
        <w:spacing w:before="0" w:beforeAutospacing="1" w:after="0" w:afterAutospacing="1" w:line="360" w:lineRule="auto"/>
        <w:ind w:left="0" w:right="0" w:firstLine="640"/>
        <w:jc w:val="both"/>
        <w:rPr>
          <w:rFonts w:hint="eastAsia"/>
          <w:sz w:val="32"/>
          <w:szCs w:val="32"/>
          <w:lang w:val="en-US"/>
        </w:rPr>
      </w:pPr>
      <w:r>
        <w:rPr>
          <w:rFonts w:hint="eastAsia"/>
          <w:sz w:val="32"/>
          <w:szCs w:val="32"/>
          <w:lang w:val="en-US"/>
        </w:rPr>
        <w:t>5.</w:t>
      </w:r>
      <w:r>
        <w:rPr>
          <w:rFonts w:hint="eastAsia"/>
          <w:sz w:val="32"/>
          <w:szCs w:val="32"/>
          <w:lang w:eastAsia="zh-CN"/>
        </w:rPr>
        <w:t>按照区域卫生规划、布局及卫生行政主管部门的要求，承担</w:t>
      </w:r>
      <w:r>
        <w:rPr>
          <w:rFonts w:hint="eastAsia"/>
          <w:sz w:val="32"/>
          <w:szCs w:val="32"/>
          <w:lang w:val="en-US" w:eastAsia="zh-CN"/>
        </w:rPr>
        <w:t>全</w:t>
      </w:r>
      <w:r>
        <w:rPr>
          <w:rFonts w:hint="eastAsia"/>
          <w:sz w:val="32"/>
          <w:szCs w:val="32"/>
          <w:lang w:eastAsia="zh-CN"/>
        </w:rPr>
        <w:t>盟范围内精神卫生宣教、指导工作。</w:t>
      </w:r>
    </w:p>
    <w:p>
      <w:pPr>
        <w:keepNext w:val="0"/>
        <w:keepLines w:val="0"/>
        <w:widowControl/>
        <w:suppressLineNumbers w:val="0"/>
        <w:spacing w:before="0" w:beforeAutospacing="1" w:after="0" w:afterAutospacing="1" w:line="360" w:lineRule="auto"/>
        <w:ind w:left="0" w:right="0" w:firstLine="640"/>
        <w:jc w:val="both"/>
        <w:rPr>
          <w:rFonts w:hint="eastAsia"/>
          <w:sz w:val="32"/>
          <w:szCs w:val="32"/>
          <w:lang w:val="en-US"/>
        </w:rPr>
      </w:pPr>
      <w:r>
        <w:rPr>
          <w:rFonts w:hint="eastAsia"/>
          <w:sz w:val="32"/>
          <w:szCs w:val="32"/>
          <w:lang w:val="en-US"/>
        </w:rPr>
        <w:t>6.</w:t>
      </w:r>
      <w:r>
        <w:rPr>
          <w:rFonts w:hint="eastAsia"/>
          <w:sz w:val="32"/>
          <w:szCs w:val="32"/>
          <w:lang w:eastAsia="zh-CN"/>
        </w:rPr>
        <w:t>利用现有的卫生资源，开展综合门诊，为群众提供心理咨询、心理治疗及常见病、多发病防治服务。</w:t>
      </w:r>
    </w:p>
    <w:p>
      <w:pPr>
        <w:keepNext w:val="0"/>
        <w:keepLines w:val="0"/>
        <w:widowControl/>
        <w:suppressLineNumbers w:val="0"/>
        <w:spacing w:before="0" w:beforeAutospacing="1" w:after="0" w:afterAutospacing="1" w:line="600" w:lineRule="atLeast"/>
        <w:ind w:left="424" w:right="0" w:firstLine="212"/>
        <w:jc w:val="both"/>
      </w:pPr>
      <w:r>
        <w:rPr>
          <w:rFonts w:hint="eastAsia" w:ascii="黑体" w:hAnsi="宋体" w:eastAsia="黑体" w:cs="黑体"/>
          <w:b/>
          <w:bCs/>
          <w:sz w:val="32"/>
          <w:szCs w:val="32"/>
        </w:rPr>
        <w:t>二、</w:t>
      </w:r>
      <w:r>
        <w:rPr>
          <w:rFonts w:hint="eastAsia" w:ascii="黑体" w:hAnsi="宋体" w:eastAsia="黑体" w:cs="黑体"/>
          <w:b/>
          <w:bCs/>
          <w:sz w:val="32"/>
          <w:szCs w:val="32"/>
          <w:lang w:val="en-US"/>
        </w:rPr>
        <w:t>单位</w:t>
      </w:r>
      <w:r>
        <w:rPr>
          <w:rFonts w:hint="eastAsia" w:ascii="黑体" w:hAnsi="宋体" w:eastAsia="黑体" w:cs="黑体"/>
          <w:b/>
          <w:bCs/>
          <w:sz w:val="32"/>
          <w:szCs w:val="32"/>
        </w:rPr>
        <w:t>机构设置及决算单位构成情况</w:t>
      </w:r>
    </w:p>
    <w:p>
      <w:pPr>
        <w:keepNext w:val="0"/>
        <w:keepLines w:val="0"/>
        <w:widowControl/>
        <w:suppressLineNumbers w:val="0"/>
        <w:spacing w:before="0" w:beforeAutospacing="1" w:after="0" w:afterAutospacing="1" w:line="360" w:lineRule="auto"/>
        <w:ind w:left="0" w:right="0" w:firstLine="640"/>
        <w:jc w:val="both"/>
        <w:rPr>
          <w:sz w:val="32"/>
          <w:szCs w:val="32"/>
        </w:rPr>
      </w:pPr>
      <w:r>
        <w:rPr>
          <w:rFonts w:hint="default" w:ascii="Times New Roman" w:hAnsi="Times New Roman" w:cs="Times New Roman"/>
          <w:sz w:val="32"/>
          <w:szCs w:val="32"/>
          <w:lang w:val="en-US"/>
        </w:rPr>
        <w:t>1.</w:t>
      </w:r>
      <w:r>
        <w:rPr>
          <w:sz w:val="32"/>
          <w:szCs w:val="32"/>
        </w:rPr>
        <w:t>本</w:t>
      </w:r>
      <w:r>
        <w:rPr>
          <w:sz w:val="32"/>
          <w:szCs w:val="32"/>
          <w:lang w:val="en-US"/>
        </w:rPr>
        <w:t>单位</w:t>
      </w:r>
      <w:r>
        <w:rPr>
          <w:rFonts w:hint="eastAsia"/>
          <w:sz w:val="32"/>
          <w:szCs w:val="32"/>
          <w:lang w:val="en-US" w:eastAsia="zh-CN"/>
        </w:rPr>
        <w:t>无下属单位</w:t>
      </w:r>
      <w:r>
        <w:rPr>
          <w:sz w:val="32"/>
          <w:szCs w:val="32"/>
        </w:rPr>
        <w:t>。</w:t>
      </w:r>
    </w:p>
    <w:p>
      <w:pPr>
        <w:keepNext w:val="0"/>
        <w:keepLines w:val="0"/>
        <w:widowControl/>
        <w:suppressLineNumbers w:val="0"/>
        <w:spacing w:before="0" w:beforeAutospacing="1" w:after="0" w:afterAutospacing="1" w:line="360" w:lineRule="auto"/>
        <w:ind w:left="0" w:right="0" w:firstLine="640"/>
        <w:jc w:val="both"/>
      </w:pPr>
      <w:r>
        <w:rPr>
          <w:rFonts w:hint="default" w:ascii="Times New Roman" w:hAnsi="Times New Roman" w:cs="Times New Roman"/>
          <w:sz w:val="32"/>
          <w:szCs w:val="32"/>
          <w:lang w:val="en-US"/>
        </w:rPr>
        <w:t>2.</w:t>
      </w:r>
      <w:r>
        <w:rPr>
          <w:sz w:val="32"/>
          <w:szCs w:val="32"/>
        </w:rPr>
        <w:t>从决算单位构成看，纳入本部门</w:t>
      </w:r>
      <w:r>
        <w:rPr>
          <w:sz w:val="32"/>
          <w:szCs w:val="32"/>
          <w:lang w:val="en-US"/>
        </w:rPr>
        <w:t>2022</w:t>
      </w:r>
      <w:r>
        <w:rPr>
          <w:sz w:val="32"/>
          <w:szCs w:val="32"/>
        </w:rPr>
        <w:t>年部门汇总决算编制范围的预算单位共计</w:t>
      </w:r>
      <w:r>
        <w:rPr>
          <w:rFonts w:hint="eastAsia"/>
          <w:sz w:val="32"/>
          <w:szCs w:val="32"/>
          <w:lang w:val="en-US" w:eastAsia="zh-CN"/>
        </w:rPr>
        <w:t>1</w:t>
      </w:r>
      <w:r>
        <w:rPr>
          <w:sz w:val="32"/>
          <w:szCs w:val="32"/>
        </w:rPr>
        <w:t>家，具体包括：</w:t>
      </w:r>
      <w:r>
        <w:rPr>
          <w:rFonts w:hint="eastAsia"/>
          <w:sz w:val="32"/>
          <w:szCs w:val="32"/>
          <w:lang w:val="en-US" w:eastAsia="zh-CN"/>
        </w:rPr>
        <w:t>锡林郭勒盟安神医院</w:t>
      </w:r>
      <w:r>
        <w:rPr>
          <w:sz w:val="32"/>
          <w:szCs w:val="32"/>
        </w:rPr>
        <w:t>。详细情况见表：</w:t>
      </w:r>
    </w:p>
    <w:tbl>
      <w:tblPr>
        <w:tblStyle w:val="9"/>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62"/>
        <w:gridCol w:w="3260"/>
        <w:gridCol w:w="460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6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pPr>
            <w:r>
              <w:rPr>
                <w:color w:val="000000"/>
                <w:sz w:val="31"/>
                <w:szCs w:val="31"/>
              </w:rPr>
              <w:t>序号</w:t>
            </w:r>
          </w:p>
        </w:tc>
        <w:tc>
          <w:tcPr>
            <w:tcW w:w="3260"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pPr>
            <w:r>
              <w:rPr>
                <w:color w:val="000000"/>
                <w:sz w:val="31"/>
                <w:szCs w:val="31"/>
              </w:rPr>
              <w:t>单位名称</w:t>
            </w:r>
          </w:p>
        </w:tc>
        <w:tc>
          <w:tcPr>
            <w:tcW w:w="4600"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pPr>
            <w:r>
              <w:rPr>
                <w:color w:val="000000"/>
                <w:sz w:val="31"/>
                <w:szCs w:val="31"/>
              </w:rPr>
              <w:t>单位性质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62"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pPr>
            <w:r>
              <w:rPr>
                <w:rFonts w:hint="default" w:ascii="Times New Roman" w:hAnsi="Times New Roman" w:cs="Times New Roman"/>
                <w:color w:val="000000"/>
                <w:sz w:val="31"/>
                <w:szCs w:val="31"/>
                <w:lang w:val="en-US"/>
              </w:rPr>
              <w:t>1</w:t>
            </w:r>
          </w:p>
        </w:tc>
        <w:tc>
          <w:tcPr>
            <w:tcW w:w="326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lang w:val="en-US" w:eastAsia="zh-CN"/>
              </w:rPr>
            </w:pPr>
            <w:r>
              <w:rPr>
                <w:rFonts w:hint="eastAsia"/>
                <w:color w:val="000000"/>
                <w:sz w:val="31"/>
                <w:szCs w:val="31"/>
                <w:lang w:val="en-US" w:eastAsia="zh-CN"/>
              </w:rPr>
              <w:t>锡林郭勒盟安神医院</w:t>
            </w:r>
          </w:p>
        </w:tc>
        <w:tc>
          <w:tcPr>
            <w:tcW w:w="460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pPr>
            <w:r>
              <w:rPr>
                <w:rFonts w:hint="eastAsia"/>
                <w:color w:val="000000"/>
                <w:sz w:val="31"/>
                <w:szCs w:val="31"/>
                <w:lang w:val="en-US" w:eastAsia="zh-CN"/>
              </w:rPr>
              <w:t>公益一类事业单位</w:t>
            </w:r>
          </w:p>
        </w:tc>
      </w:tr>
    </w:tbl>
    <w:p>
      <w:pPr>
        <w:keepNext w:val="0"/>
        <w:keepLines w:val="0"/>
        <w:widowControl/>
        <w:suppressLineNumbers w:val="0"/>
        <w:spacing w:before="0" w:beforeAutospacing="1" w:after="0" w:afterAutospacing="1" w:line="600" w:lineRule="atLeast"/>
        <w:ind w:left="0" w:right="0" w:firstLine="643"/>
        <w:jc w:val="both"/>
      </w:pPr>
      <w:r>
        <w:rPr>
          <w:rFonts w:hint="eastAsia" w:ascii="黑体" w:hAnsi="宋体" w:eastAsia="黑体" w:cs="黑体"/>
          <w:b/>
          <w:bCs/>
          <w:sz w:val="32"/>
          <w:szCs w:val="32"/>
        </w:rPr>
        <w:t>三、</w:t>
      </w:r>
      <w:r>
        <w:rPr>
          <w:b/>
          <w:bCs/>
          <w:sz w:val="32"/>
          <w:szCs w:val="32"/>
          <w:lang w:val="en-US"/>
        </w:rPr>
        <w:t>2022</w:t>
      </w:r>
      <w:r>
        <w:rPr>
          <w:rFonts w:hint="eastAsia" w:ascii="黑体" w:hAnsi="宋体" w:eastAsia="黑体" w:cs="黑体"/>
          <w:b/>
          <w:bCs/>
          <w:sz w:val="32"/>
          <w:szCs w:val="32"/>
        </w:rPr>
        <w:t>年度</w:t>
      </w:r>
      <w:r>
        <w:rPr>
          <w:rFonts w:hint="eastAsia" w:ascii="黑体" w:hAnsi="宋体" w:eastAsia="黑体" w:cs="黑体"/>
          <w:b/>
          <w:bCs/>
          <w:sz w:val="32"/>
          <w:szCs w:val="32"/>
          <w:lang w:val="en-US"/>
        </w:rPr>
        <w:t>单位</w:t>
      </w:r>
      <w:r>
        <w:rPr>
          <w:rFonts w:hint="eastAsia" w:ascii="黑体" w:hAnsi="宋体" w:eastAsia="黑体" w:cs="黑体"/>
          <w:b/>
          <w:bCs/>
          <w:sz w:val="32"/>
          <w:szCs w:val="32"/>
        </w:rPr>
        <w:t>主要工作完成情况</w:t>
      </w:r>
      <w:r>
        <w:rPr>
          <w:rFonts w:hint="default" w:ascii="Times New Roman" w:hAnsi="Times New Roman" w:cs="Times New Roman"/>
          <w:sz w:val="21"/>
          <w:szCs w:val="21"/>
          <w:lang w:val="en-US"/>
        </w:rPr>
        <w:t> </w:t>
      </w:r>
    </w:p>
    <w:p>
      <w:pPr>
        <w:keepNext w:val="0"/>
        <w:keepLines w:val="0"/>
        <w:widowControl/>
        <w:suppressLineNumbers w:val="0"/>
        <w:spacing w:before="0" w:beforeAutospacing="1" w:after="0" w:afterAutospacing="1" w:line="360" w:lineRule="auto"/>
        <w:ind w:left="0" w:right="0" w:firstLine="640"/>
        <w:jc w:val="both"/>
        <w:rPr>
          <w:rFonts w:hint="eastAsia"/>
          <w:sz w:val="32"/>
          <w:szCs w:val="32"/>
          <w:lang w:val="en-US" w:eastAsia="zh-CN"/>
        </w:rPr>
      </w:pPr>
      <w:r>
        <w:rPr>
          <w:rFonts w:hint="eastAsia"/>
          <w:sz w:val="32"/>
          <w:szCs w:val="32"/>
          <w:lang w:val="en-US" w:eastAsia="zh-CN"/>
        </w:rPr>
        <w:t>（一）党建工作有声有色</w:t>
      </w:r>
    </w:p>
    <w:p>
      <w:pPr>
        <w:keepNext w:val="0"/>
        <w:keepLines w:val="0"/>
        <w:widowControl/>
        <w:suppressLineNumbers w:val="0"/>
        <w:spacing w:before="0" w:beforeAutospacing="1" w:after="0" w:afterAutospacing="1" w:line="360" w:lineRule="auto"/>
        <w:ind w:left="0" w:right="0" w:firstLine="640"/>
        <w:jc w:val="both"/>
        <w:rPr>
          <w:rFonts w:hint="eastAsia"/>
          <w:sz w:val="32"/>
          <w:szCs w:val="32"/>
          <w:lang w:eastAsia="zh-CN"/>
        </w:rPr>
      </w:pPr>
      <w:r>
        <w:rPr>
          <w:rFonts w:hint="eastAsia"/>
          <w:sz w:val="32"/>
          <w:szCs w:val="32"/>
          <w:lang w:val="en-US" w:eastAsia="zh-CN"/>
        </w:rPr>
        <w:t>医院深入学习贯彻习近平新时代中国特色社会主义思想和党中央重大决策部署，全面落实盟委行署及盟民政局工作要求，成立整治“两化”专项行动专班，统筹推进整治“两化”工作与岗位权力廉政风险防控与监督工作，结合</w:t>
      </w:r>
      <w:r>
        <w:rPr>
          <w:rFonts w:hint="eastAsia"/>
          <w:sz w:val="32"/>
          <w:szCs w:val="32"/>
          <w:lang w:eastAsia="zh-CN"/>
        </w:rPr>
        <w:t>“双百”攻坚行动</w:t>
      </w:r>
      <w:r>
        <w:rPr>
          <w:rFonts w:hint="eastAsia"/>
          <w:sz w:val="32"/>
          <w:szCs w:val="32"/>
        </w:rPr>
        <w:t>常态化长效化</w:t>
      </w:r>
      <w:r>
        <w:rPr>
          <w:rFonts w:hint="eastAsia"/>
          <w:sz w:val="32"/>
          <w:szCs w:val="32"/>
          <w:lang w:eastAsia="zh-CN"/>
        </w:rPr>
        <w:t>，每周召开“双百”攻坚常态化重点工作推进会，台账化、清单化推进各项重点工作。</w:t>
      </w:r>
    </w:p>
    <w:p>
      <w:pPr>
        <w:keepNext w:val="0"/>
        <w:keepLines w:val="0"/>
        <w:widowControl/>
        <w:suppressLineNumbers w:val="0"/>
        <w:spacing w:before="0" w:beforeAutospacing="1" w:after="0" w:afterAutospacing="1" w:line="360" w:lineRule="auto"/>
        <w:ind w:left="0" w:right="0" w:firstLine="640"/>
        <w:jc w:val="both"/>
        <w:rPr>
          <w:rFonts w:hint="eastAsia"/>
          <w:sz w:val="32"/>
          <w:szCs w:val="32"/>
          <w:lang w:val="en-US" w:eastAsia="zh-CN"/>
        </w:rPr>
      </w:pPr>
      <w:r>
        <w:rPr>
          <w:rFonts w:hint="eastAsia"/>
          <w:sz w:val="32"/>
          <w:szCs w:val="32"/>
          <w:lang w:eastAsia="zh-CN"/>
        </w:rPr>
        <w:t>（二）本职</w:t>
      </w:r>
      <w:r>
        <w:rPr>
          <w:rFonts w:hint="eastAsia"/>
          <w:sz w:val="32"/>
          <w:szCs w:val="32"/>
          <w:lang w:val="en-US" w:eastAsia="zh-CN"/>
        </w:rPr>
        <w:t>业务扎实推进</w:t>
      </w:r>
    </w:p>
    <w:p>
      <w:pPr>
        <w:keepNext w:val="0"/>
        <w:keepLines w:val="0"/>
        <w:widowControl/>
        <w:suppressLineNumbers w:val="0"/>
        <w:spacing w:before="0" w:beforeAutospacing="1" w:after="0" w:afterAutospacing="1" w:line="360" w:lineRule="auto"/>
        <w:ind w:left="0" w:right="0" w:firstLine="640"/>
        <w:jc w:val="both"/>
        <w:rPr>
          <w:rFonts w:hint="eastAsia"/>
          <w:sz w:val="32"/>
          <w:szCs w:val="32"/>
          <w:lang w:val="en-US" w:eastAsia="zh-CN"/>
        </w:rPr>
      </w:pPr>
      <w:r>
        <w:rPr>
          <w:rFonts w:hint="eastAsia"/>
          <w:sz w:val="32"/>
          <w:szCs w:val="32"/>
          <w:lang w:val="en-US" w:eastAsia="zh-CN"/>
        </w:rPr>
        <w:t>全年实现业务收入6243.26万元，较去年同期增长4.1%。院门诊48885人次，较去年同期增长15.67%，入院1133人次，出院1135人次，床位使用率84.6%，病床周转次数2.31次，临床路径入径率97.66%。</w:t>
      </w:r>
    </w:p>
    <w:p>
      <w:pPr>
        <w:keepNext w:val="0"/>
        <w:keepLines w:val="0"/>
        <w:widowControl/>
        <w:suppressLineNumbers w:val="0"/>
        <w:spacing w:before="0" w:beforeAutospacing="1" w:after="0" w:afterAutospacing="1" w:line="360" w:lineRule="auto"/>
        <w:ind w:left="0" w:right="0" w:firstLine="640"/>
        <w:jc w:val="both"/>
        <w:rPr>
          <w:rFonts w:hint="eastAsia"/>
          <w:sz w:val="32"/>
          <w:szCs w:val="32"/>
          <w:lang w:val="en-US" w:eastAsia="zh-CN"/>
        </w:rPr>
      </w:pPr>
      <w:r>
        <w:rPr>
          <w:rFonts w:hint="eastAsia"/>
          <w:sz w:val="32"/>
          <w:szCs w:val="32"/>
          <w:lang w:val="en-US" w:eastAsia="zh-CN"/>
        </w:rPr>
        <w:t>全年医院基本医疗保险报销补偿1022人次，总医疗费用5234.64万，基本医疗报销3887.86万，医疗救助521.23万，大病补偿50.38万，个人账户支付28.36万，公务员补助1.40万元。基本医保基金已支付2700.23万元。</w:t>
      </w:r>
    </w:p>
    <w:p>
      <w:pPr>
        <w:keepNext w:val="0"/>
        <w:keepLines w:val="0"/>
        <w:widowControl/>
        <w:suppressLineNumbers w:val="0"/>
        <w:spacing w:before="0" w:beforeAutospacing="1" w:after="0" w:afterAutospacing="1" w:line="360" w:lineRule="auto"/>
        <w:ind w:left="0" w:right="0" w:firstLine="640"/>
        <w:jc w:val="both"/>
        <w:rPr>
          <w:rFonts w:hint="eastAsia"/>
          <w:sz w:val="32"/>
          <w:szCs w:val="32"/>
          <w:lang w:val="en-US" w:eastAsia="zh-CN"/>
        </w:rPr>
      </w:pPr>
      <w:r>
        <w:rPr>
          <w:rFonts w:hint="eastAsia"/>
          <w:sz w:val="32"/>
          <w:szCs w:val="32"/>
          <w:lang w:val="en-US" w:eastAsia="zh-CN"/>
        </w:rPr>
        <w:t>（三）内涵建设再接再厉</w:t>
      </w:r>
    </w:p>
    <w:p>
      <w:pPr>
        <w:keepNext w:val="0"/>
        <w:keepLines w:val="0"/>
        <w:widowControl/>
        <w:suppressLineNumbers w:val="0"/>
        <w:spacing w:before="0" w:beforeAutospacing="1" w:after="0" w:afterAutospacing="1" w:line="360" w:lineRule="auto"/>
        <w:ind w:left="0" w:right="0" w:firstLine="640"/>
        <w:jc w:val="both"/>
        <w:rPr>
          <w:rFonts w:hint="default"/>
          <w:sz w:val="32"/>
          <w:szCs w:val="32"/>
          <w:lang w:val="en-US" w:eastAsia="zh-CN"/>
        </w:rPr>
      </w:pPr>
      <w:r>
        <w:rPr>
          <w:rFonts w:hint="eastAsia"/>
          <w:sz w:val="32"/>
          <w:szCs w:val="32"/>
          <w:lang w:val="en-US" w:eastAsia="zh-CN"/>
        </w:rPr>
        <w:t>公立医院绩效考核工作全年各部门对56个指标开展自查自评，多部门联合审核及修改，落实专人负责数据上传并完成工作。2022年10月国家卫生健康委公立医院绩效考核平台公布了“2021年度三级公立医院效考核国家监测指标考核结果”，医院在国家监测指标三级精神卫生医院中等级为B，排名全国第66名，国家监测指标得分为688分。</w:t>
      </w:r>
    </w:p>
    <w:p>
      <w:pPr>
        <w:keepNext w:val="0"/>
        <w:keepLines w:val="0"/>
        <w:widowControl/>
        <w:suppressLineNumbers w:val="0"/>
        <w:spacing w:before="0" w:beforeAutospacing="1" w:after="0" w:afterAutospacing="1" w:line="360" w:lineRule="auto"/>
        <w:ind w:left="0" w:right="0" w:firstLine="640"/>
        <w:jc w:val="both"/>
        <w:rPr>
          <w:rFonts w:hint="eastAsia"/>
          <w:sz w:val="32"/>
          <w:szCs w:val="32"/>
          <w:lang w:val="en-US" w:eastAsia="zh-CN"/>
        </w:rPr>
      </w:pPr>
      <w:r>
        <w:rPr>
          <w:rFonts w:hint="eastAsia"/>
          <w:sz w:val="32"/>
          <w:szCs w:val="32"/>
          <w:lang w:val="en-US" w:eastAsia="zh-CN"/>
        </w:rPr>
        <w:t>（四）夯实公共卫生服务职责</w:t>
      </w:r>
    </w:p>
    <w:p>
      <w:pPr>
        <w:keepNext w:val="0"/>
        <w:keepLines w:val="0"/>
        <w:widowControl/>
        <w:suppressLineNumbers w:val="0"/>
        <w:spacing w:before="0" w:beforeAutospacing="1" w:after="0" w:afterAutospacing="1" w:line="360" w:lineRule="auto"/>
        <w:ind w:left="0" w:right="0" w:firstLine="640"/>
        <w:jc w:val="both"/>
        <w:rPr>
          <w:rFonts w:hint="eastAsia"/>
          <w:sz w:val="32"/>
          <w:szCs w:val="32"/>
          <w:lang w:val="en-US" w:eastAsia="zh-CN"/>
        </w:rPr>
      </w:pPr>
      <w:r>
        <w:rPr>
          <w:rFonts w:hint="eastAsia"/>
          <w:sz w:val="32"/>
          <w:szCs w:val="32"/>
          <w:lang w:val="en-US" w:eastAsia="zh-CN"/>
        </w:rPr>
        <w:t>医院全力推动精神卫生工作，全盟严重精神障碍患者报告患病率4.14‰、规范管理率92.15%、面访率92.1%、服药率88.17%、规律服药率80.84%，综合评分341.99分，较去年同期提升84.39分。全年共为1040名患者发放24.3万元免费药品。</w:t>
      </w:r>
      <w:r>
        <w:rPr>
          <w:rFonts w:hint="eastAsia"/>
          <w:sz w:val="32"/>
          <w:szCs w:val="32"/>
          <w:lang w:eastAsia="zh-CN"/>
        </w:rPr>
        <w:t>充分利用网络平台，通过视频会议的方式，组织全盟基层精防人员参加自治区质控培训会，共计培</w:t>
      </w:r>
      <w:r>
        <w:rPr>
          <w:rFonts w:hint="eastAsia"/>
          <w:sz w:val="32"/>
          <w:szCs w:val="32"/>
          <w:lang w:val="en-US" w:eastAsia="zh-CN"/>
        </w:rPr>
        <w:t>训784人次，进一步提升基层精防人员工作技能，促进全盟严重精神障碍管理质量提高。</w:t>
      </w:r>
    </w:p>
    <w:p>
      <w:pPr>
        <w:keepNext w:val="0"/>
        <w:keepLines w:val="0"/>
        <w:widowControl/>
        <w:suppressLineNumbers w:val="0"/>
        <w:spacing w:before="0" w:beforeAutospacing="1" w:after="0" w:afterAutospacing="1" w:line="360" w:lineRule="auto"/>
        <w:ind w:left="0" w:right="0" w:firstLine="640"/>
        <w:jc w:val="both"/>
        <w:rPr>
          <w:rFonts w:hint="eastAsia"/>
          <w:sz w:val="32"/>
          <w:szCs w:val="32"/>
          <w:lang w:val="en-US" w:eastAsia="zh-CN"/>
        </w:rPr>
      </w:pPr>
      <w:r>
        <w:rPr>
          <w:rFonts w:hint="eastAsia"/>
          <w:sz w:val="32"/>
          <w:szCs w:val="32"/>
          <w:lang w:val="en-US" w:eastAsia="zh-CN"/>
        </w:rPr>
        <w:t>（五）制度建设不断完善</w:t>
      </w:r>
    </w:p>
    <w:p>
      <w:pPr>
        <w:keepNext w:val="0"/>
        <w:keepLines w:val="0"/>
        <w:widowControl/>
        <w:suppressLineNumbers w:val="0"/>
        <w:spacing w:before="0" w:beforeAutospacing="1" w:after="0" w:afterAutospacing="1" w:line="360" w:lineRule="auto"/>
        <w:ind w:left="0" w:right="0" w:firstLine="640"/>
        <w:jc w:val="both"/>
        <w:rPr>
          <w:rFonts w:hint="eastAsia"/>
          <w:sz w:val="32"/>
          <w:szCs w:val="32"/>
          <w:lang w:val="en-US" w:eastAsia="zh-CN"/>
        </w:rPr>
      </w:pPr>
      <w:r>
        <w:rPr>
          <w:rFonts w:hint="eastAsia"/>
          <w:sz w:val="32"/>
          <w:szCs w:val="32"/>
          <w:lang w:val="en-US" w:eastAsia="zh-CN"/>
        </w:rPr>
        <w:t>成立健全内控机制领导小组，召开2次专题会议研讨，征求3轮意见，对机关管理、预算、收支、采购、资产、建设项目、合同管理等方面的工作流程重新梳理完善，对339条内容进行了修订，有效加强了医院经济运营活动的管控力度，保证了医疗经营活动的效率和效果，助推医院各项工作高质量发展。</w:t>
      </w:r>
    </w:p>
    <w:p>
      <w:pPr>
        <w:keepNext w:val="0"/>
        <w:keepLines w:val="0"/>
        <w:widowControl/>
        <w:suppressLineNumbers w:val="0"/>
        <w:spacing w:before="0" w:beforeAutospacing="1" w:after="0" w:afterAutospacing="1" w:line="360" w:lineRule="auto"/>
        <w:ind w:left="0" w:right="0" w:firstLine="640"/>
        <w:jc w:val="both"/>
        <w:rPr>
          <w:rFonts w:hint="default"/>
          <w:sz w:val="32"/>
          <w:szCs w:val="32"/>
          <w:lang w:val="en-US" w:eastAsia="zh-CN"/>
        </w:rPr>
      </w:pPr>
      <w:r>
        <w:rPr>
          <w:rFonts w:hint="eastAsia"/>
          <w:sz w:val="32"/>
          <w:szCs w:val="32"/>
          <w:lang w:val="en-US" w:eastAsia="zh-CN"/>
        </w:rPr>
        <w:t>（六）综合保障能力提升</w:t>
      </w:r>
    </w:p>
    <w:p>
      <w:pPr>
        <w:keepNext w:val="0"/>
        <w:keepLines w:val="0"/>
        <w:widowControl/>
        <w:suppressLineNumbers w:val="0"/>
        <w:spacing w:before="0" w:beforeAutospacing="1" w:after="0" w:afterAutospacing="1" w:line="360" w:lineRule="auto"/>
        <w:ind w:left="0" w:right="0" w:firstLine="640"/>
        <w:jc w:val="both"/>
        <w:rPr>
          <w:rFonts w:hint="eastAsia"/>
          <w:sz w:val="32"/>
          <w:szCs w:val="32"/>
          <w:lang w:val="en-US" w:eastAsia="zh-CN"/>
        </w:rPr>
      </w:pPr>
      <w:r>
        <w:rPr>
          <w:rFonts w:hint="eastAsia"/>
          <w:sz w:val="32"/>
          <w:szCs w:val="32"/>
          <w:lang w:eastAsia="zh-CN"/>
        </w:rPr>
        <w:t>完成医保智能审核系统对接工作。</w:t>
      </w:r>
      <w:r>
        <w:rPr>
          <w:rFonts w:hint="eastAsia"/>
          <w:sz w:val="32"/>
          <w:szCs w:val="32"/>
          <w:lang w:val="en-US" w:eastAsia="zh-CN"/>
        </w:rPr>
        <w:t>完成医保DIP系统对接及结算清单上传等工作，与中国建设银行对接，帮助医院完成移动医保电子支付业务上线。</w:t>
      </w:r>
    </w:p>
    <w:p>
      <w:pPr>
        <w:keepNext w:val="0"/>
        <w:keepLines w:val="0"/>
        <w:widowControl/>
        <w:suppressLineNumbers w:val="0"/>
        <w:spacing w:before="0" w:beforeAutospacing="1" w:after="0" w:afterAutospacing="1" w:line="360" w:lineRule="auto"/>
        <w:ind w:left="0" w:right="0" w:firstLine="640"/>
        <w:jc w:val="both"/>
        <w:rPr>
          <w:rFonts w:hint="eastAsia"/>
          <w:sz w:val="32"/>
          <w:szCs w:val="32"/>
          <w:lang w:eastAsia="zh-CN"/>
        </w:rPr>
      </w:pPr>
      <w:r>
        <w:rPr>
          <w:rFonts w:hint="eastAsia"/>
          <w:sz w:val="32"/>
          <w:szCs w:val="32"/>
          <w:lang w:val="en-US" w:eastAsia="zh-CN"/>
        </w:rPr>
        <w:t>（七）承担使命不退缩，疫情防控献力量</w:t>
      </w:r>
    </w:p>
    <w:p>
      <w:pPr>
        <w:keepNext w:val="0"/>
        <w:keepLines w:val="0"/>
        <w:widowControl/>
        <w:suppressLineNumbers w:val="0"/>
        <w:spacing w:before="0" w:beforeAutospacing="1" w:after="0" w:afterAutospacing="1" w:line="360" w:lineRule="auto"/>
        <w:ind w:left="0" w:right="0" w:firstLine="640"/>
        <w:jc w:val="both"/>
        <w:rPr>
          <w:rFonts w:hint="default"/>
          <w:sz w:val="32"/>
          <w:szCs w:val="32"/>
          <w:lang w:val="en-US" w:eastAsia="zh-CN"/>
        </w:rPr>
      </w:pPr>
      <w:r>
        <w:rPr>
          <w:rFonts w:hint="eastAsia"/>
          <w:sz w:val="32"/>
          <w:szCs w:val="32"/>
          <w:lang w:eastAsia="zh-CN"/>
        </w:rPr>
        <w:t>全年</w:t>
      </w:r>
      <w:r>
        <w:rPr>
          <w:rFonts w:hint="eastAsia"/>
          <w:sz w:val="32"/>
          <w:szCs w:val="32"/>
        </w:rPr>
        <w:t>共计派出</w:t>
      </w:r>
      <w:r>
        <w:rPr>
          <w:rFonts w:hint="eastAsia"/>
          <w:sz w:val="32"/>
          <w:szCs w:val="32"/>
          <w:lang w:val="en-US" w:eastAsia="zh-CN"/>
        </w:rPr>
        <w:t>14批</w:t>
      </w:r>
      <w:r>
        <w:rPr>
          <w:rFonts w:hint="eastAsia"/>
          <w:sz w:val="32"/>
          <w:szCs w:val="32"/>
        </w:rPr>
        <w:t>精神科医师</w:t>
      </w:r>
      <w:r>
        <w:rPr>
          <w:rFonts w:hint="eastAsia"/>
          <w:sz w:val="32"/>
          <w:szCs w:val="32"/>
          <w:lang w:eastAsia="zh-CN"/>
        </w:rPr>
        <w:t>、</w:t>
      </w:r>
      <w:r>
        <w:rPr>
          <w:rFonts w:hint="eastAsia"/>
          <w:sz w:val="32"/>
          <w:szCs w:val="32"/>
        </w:rPr>
        <w:t>心理治疗师</w:t>
      </w:r>
      <w:r>
        <w:rPr>
          <w:rFonts w:hint="eastAsia"/>
          <w:sz w:val="32"/>
          <w:szCs w:val="32"/>
          <w:lang w:eastAsia="zh-CN"/>
        </w:rPr>
        <w:t>、</w:t>
      </w:r>
      <w:r>
        <w:rPr>
          <w:rFonts w:hint="eastAsia"/>
          <w:sz w:val="32"/>
          <w:szCs w:val="32"/>
          <w:lang w:val="en-US" w:eastAsia="zh-CN"/>
        </w:rPr>
        <w:t>护士共计261</w:t>
      </w:r>
      <w:r>
        <w:rPr>
          <w:rFonts w:hint="eastAsia"/>
          <w:sz w:val="32"/>
          <w:szCs w:val="32"/>
        </w:rPr>
        <w:t>人次</w:t>
      </w:r>
      <w:r>
        <w:rPr>
          <w:rFonts w:hint="eastAsia"/>
          <w:sz w:val="32"/>
          <w:szCs w:val="32"/>
          <w:lang w:eastAsia="zh-CN"/>
        </w:rPr>
        <w:t>，前往呼和浩特</w:t>
      </w:r>
      <w:r>
        <w:rPr>
          <w:rFonts w:hint="eastAsia"/>
          <w:sz w:val="32"/>
          <w:szCs w:val="32"/>
        </w:rPr>
        <w:t>、二连浩特市</w:t>
      </w:r>
      <w:r>
        <w:rPr>
          <w:rFonts w:hint="eastAsia"/>
          <w:sz w:val="32"/>
          <w:szCs w:val="32"/>
          <w:lang w:val="en-US" w:eastAsia="zh-CN"/>
        </w:rPr>
        <w:t>、锡林浩特市、东苏旗、黄旗等地区承担核酸采样、督导检查、消毒消杀、核酸检测、心理治疗与心理疏导等工作。其中，心理疏导与心理危机干预，全年累计入住隔离酒店142个，心理疏导及危机干预覆盖人数13654人，开展个体干预842人次，转介精神科指导用药83人次，累计开展团体干预130877人次。</w:t>
      </w:r>
    </w:p>
    <w:p>
      <w:pPr>
        <w:keepNext w:val="0"/>
        <w:keepLines w:val="0"/>
        <w:widowControl/>
        <w:suppressLineNumbers w:val="0"/>
        <w:spacing w:before="0" w:beforeAutospacing="1" w:after="0" w:afterAutospacing="1" w:line="360" w:lineRule="auto"/>
        <w:ind w:left="0" w:right="0" w:firstLine="640"/>
        <w:jc w:val="both"/>
        <w:rPr>
          <w:rFonts w:hint="eastAsia"/>
          <w:sz w:val="32"/>
          <w:szCs w:val="32"/>
          <w:lang w:val="en-US" w:eastAsia="zh-CN"/>
        </w:rPr>
      </w:pPr>
      <w:r>
        <w:rPr>
          <w:rFonts w:hint="eastAsia"/>
          <w:sz w:val="32"/>
          <w:szCs w:val="32"/>
          <w:lang w:val="en-US" w:eastAsia="zh-CN"/>
        </w:rPr>
        <w:t>（八）</w:t>
      </w:r>
      <w:r>
        <w:rPr>
          <w:rFonts w:hint="eastAsia"/>
          <w:sz w:val="32"/>
          <w:szCs w:val="32"/>
        </w:rPr>
        <w:t>强化政治担当</w:t>
      </w:r>
      <w:r>
        <w:rPr>
          <w:rFonts w:hint="eastAsia"/>
          <w:sz w:val="32"/>
          <w:szCs w:val="32"/>
          <w:lang w:eastAsia="zh-CN"/>
        </w:rPr>
        <w:t>，</w:t>
      </w:r>
      <w:r>
        <w:rPr>
          <w:rFonts w:hint="eastAsia"/>
          <w:sz w:val="32"/>
          <w:szCs w:val="32"/>
          <w:lang w:val="en-US" w:eastAsia="zh-CN"/>
        </w:rPr>
        <w:t>靶向聚焦精准整改</w:t>
      </w:r>
    </w:p>
    <w:p>
      <w:pPr>
        <w:keepNext w:val="0"/>
        <w:keepLines w:val="0"/>
        <w:widowControl/>
        <w:suppressLineNumbers w:val="0"/>
        <w:spacing w:before="0" w:beforeAutospacing="1" w:after="0" w:afterAutospacing="1" w:line="360" w:lineRule="auto"/>
        <w:ind w:left="0" w:right="0" w:firstLine="640"/>
        <w:jc w:val="both"/>
        <w:rPr>
          <w:rFonts w:hint="default"/>
          <w:sz w:val="32"/>
          <w:szCs w:val="32"/>
          <w:lang w:val="en-US" w:eastAsia="zh-CN"/>
        </w:rPr>
      </w:pPr>
      <w:r>
        <w:rPr>
          <w:rFonts w:hint="eastAsia"/>
          <w:sz w:val="32"/>
          <w:szCs w:val="32"/>
          <w:lang w:val="en-US" w:eastAsia="zh-CN"/>
        </w:rPr>
        <w:t>针对盟委第四巡察组巡察盟民政局党组反馈安神医院存在问题，医院高度重视、诚恳接受、深刻反思、积极整改，先后召开2次工作部署会，5次推进会，专题部署、研究和推进巡察反馈问题整改落实工作，班子成员坚持牵头领办任务，切实扛牢责任，各科室</w:t>
      </w:r>
      <w:r>
        <w:rPr>
          <w:rFonts w:hint="default"/>
          <w:sz w:val="32"/>
          <w:szCs w:val="32"/>
          <w:lang w:val="en-US" w:eastAsia="zh-CN"/>
        </w:rPr>
        <w:t>对照巡察反馈意见迅速进行逐条梳理和全面自查，紧紧围绕</w:t>
      </w:r>
      <w:r>
        <w:rPr>
          <w:rFonts w:hint="eastAsia"/>
          <w:sz w:val="32"/>
          <w:szCs w:val="32"/>
          <w:lang w:val="en-US" w:eastAsia="zh-CN"/>
        </w:rPr>
        <w:t>巡察组反馈的7项问题</w:t>
      </w:r>
      <w:r>
        <w:rPr>
          <w:rFonts w:hint="default"/>
          <w:sz w:val="32"/>
          <w:szCs w:val="32"/>
          <w:lang w:val="en-US" w:eastAsia="zh-CN"/>
        </w:rPr>
        <w:t>和</w:t>
      </w:r>
      <w:r>
        <w:rPr>
          <w:rFonts w:hint="eastAsia"/>
          <w:sz w:val="32"/>
          <w:szCs w:val="32"/>
          <w:lang w:val="en-US" w:eastAsia="zh-CN"/>
        </w:rPr>
        <w:t>局党组关于</w:t>
      </w:r>
      <w:r>
        <w:rPr>
          <w:rFonts w:hint="default"/>
          <w:sz w:val="32"/>
          <w:szCs w:val="32"/>
          <w:lang w:val="en-US" w:eastAsia="zh-CN"/>
        </w:rPr>
        <w:t>整改工作要求，</w:t>
      </w:r>
      <w:r>
        <w:rPr>
          <w:rFonts w:hint="eastAsia"/>
          <w:sz w:val="32"/>
          <w:szCs w:val="32"/>
          <w:lang w:val="en-US" w:eastAsia="zh-CN"/>
        </w:rPr>
        <w:t>研究制定《盟委第四巡察组反馈意见安神医院整改方案》，</w:t>
      </w:r>
      <w:r>
        <w:rPr>
          <w:rFonts w:hint="default"/>
          <w:sz w:val="32"/>
          <w:szCs w:val="32"/>
          <w:lang w:val="en-US" w:eastAsia="zh-CN"/>
        </w:rPr>
        <w:t>各责任</w:t>
      </w:r>
      <w:r>
        <w:rPr>
          <w:rFonts w:hint="eastAsia"/>
          <w:sz w:val="32"/>
          <w:szCs w:val="32"/>
          <w:lang w:val="en-US" w:eastAsia="zh-CN"/>
        </w:rPr>
        <w:t>科室</w:t>
      </w:r>
      <w:r>
        <w:rPr>
          <w:rFonts w:hint="default"/>
          <w:sz w:val="32"/>
          <w:szCs w:val="32"/>
          <w:lang w:val="en-US" w:eastAsia="zh-CN"/>
        </w:rPr>
        <w:t>严格按照整改方案的时间表和任务清单抓好各项任务落实，采取动态管理、台账推进、对账销号的办法严格落实整改</w:t>
      </w:r>
      <w:r>
        <w:rPr>
          <w:rFonts w:hint="eastAsia"/>
          <w:sz w:val="32"/>
          <w:szCs w:val="32"/>
          <w:lang w:val="en-US" w:eastAsia="zh-CN"/>
        </w:rPr>
        <w:t>，</w:t>
      </w:r>
      <w:r>
        <w:rPr>
          <w:rFonts w:hint="eastAsia"/>
          <w:sz w:val="32"/>
          <w:szCs w:val="32"/>
        </w:rPr>
        <w:t>完成一件，“销号”一件，</w:t>
      </w:r>
      <w:r>
        <w:rPr>
          <w:rFonts w:hint="eastAsia"/>
          <w:sz w:val="32"/>
          <w:szCs w:val="32"/>
          <w:lang w:eastAsia="zh-CN"/>
        </w:rPr>
        <w:t>截止</w:t>
      </w:r>
      <w:r>
        <w:rPr>
          <w:rFonts w:hint="eastAsia"/>
          <w:sz w:val="32"/>
          <w:szCs w:val="32"/>
          <w:lang w:val="en-US" w:eastAsia="zh-CN"/>
        </w:rPr>
        <w:t>12月底，已全部销号。</w:t>
      </w:r>
    </w:p>
    <w:p>
      <w:pPr>
        <w:pStyle w:val="5"/>
        <w:keepNext/>
        <w:keepLines w:val="0"/>
        <w:widowControl/>
        <w:suppressLineNumbers w:val="0"/>
        <w:spacing w:line="360" w:lineRule="auto"/>
        <w:jc w:val="center"/>
      </w:pPr>
      <w:r>
        <w:rPr>
          <w:rFonts w:hint="eastAsia" w:ascii="方正小标宋简体" w:hAnsi="方正小标宋简体" w:eastAsia="方正小标宋简体" w:cs="方正小标宋简体"/>
          <w:sz w:val="36"/>
          <w:szCs w:val="36"/>
        </w:rPr>
        <w:t>第二部分</w:t>
      </w:r>
      <w:r>
        <w:rPr>
          <w:rFonts w:hint="eastAsia" w:ascii="方正小标宋简体" w:hAnsi="方正小标宋简体" w:eastAsia="方正小标宋简体" w:cs="方正小标宋简体"/>
          <w:sz w:val="36"/>
          <w:szCs w:val="36"/>
          <w:lang w:val="en-US"/>
        </w:rPr>
        <w:t>  2022</w:t>
      </w:r>
      <w:r>
        <w:rPr>
          <w:rFonts w:hint="eastAsia" w:ascii="方正小标宋简体" w:hAnsi="方正小标宋简体" w:eastAsia="方正小标宋简体" w:cs="方正小标宋简体"/>
          <w:sz w:val="36"/>
          <w:szCs w:val="36"/>
        </w:rPr>
        <w:t>年度</w:t>
      </w:r>
      <w:r>
        <w:rPr>
          <w:rFonts w:hint="eastAsia" w:ascii="方正小标宋简体" w:hAnsi="方正小标宋简体" w:eastAsia="方正小标宋简体" w:cs="方正小标宋简体"/>
          <w:sz w:val="36"/>
          <w:szCs w:val="36"/>
          <w:lang w:val="en-US"/>
        </w:rPr>
        <w:t>单位</w:t>
      </w:r>
      <w:r>
        <w:rPr>
          <w:rFonts w:hint="eastAsia" w:ascii="方正小标宋简体" w:hAnsi="方正小标宋简体" w:eastAsia="方正小标宋简体" w:cs="方正小标宋简体"/>
          <w:sz w:val="36"/>
          <w:szCs w:val="36"/>
        </w:rPr>
        <w:t>决算情况说明</w:t>
      </w:r>
    </w:p>
    <w:p>
      <w:pPr>
        <w:keepNext w:val="0"/>
        <w:keepLines w:val="0"/>
        <w:widowControl/>
        <w:suppressLineNumbers w:val="0"/>
        <w:spacing w:before="0" w:beforeAutospacing="1" w:after="0" w:afterAutospacing="1" w:line="600" w:lineRule="atLeast"/>
        <w:ind w:left="0" w:right="0" w:firstLine="643"/>
        <w:jc w:val="both"/>
      </w:pPr>
      <w:r>
        <w:rPr>
          <w:rFonts w:hint="eastAsia" w:ascii="黑体" w:hAnsi="宋体" w:eastAsia="黑体" w:cs="黑体"/>
          <w:b/>
          <w:bCs/>
          <w:sz w:val="32"/>
          <w:szCs w:val="32"/>
        </w:rPr>
        <w:t>一、收入支出决算总体情况说明</w:t>
      </w:r>
    </w:p>
    <w:p>
      <w:pPr>
        <w:keepNext w:val="0"/>
        <w:keepLines w:val="0"/>
        <w:widowControl/>
        <w:suppressLineNumbers w:val="0"/>
        <w:spacing w:before="0" w:beforeAutospacing="1" w:after="0" w:afterAutospacing="1" w:line="560" w:lineRule="atLeast"/>
        <w:ind w:left="0" w:right="0" w:firstLine="640"/>
        <w:jc w:val="both"/>
      </w:pPr>
      <w:r>
        <w:rPr>
          <w:sz w:val="32"/>
          <w:szCs w:val="32"/>
          <w:lang w:val="en-US"/>
        </w:rPr>
        <w:t>锡林郭勒盟安神医院单位2022</w:t>
      </w:r>
      <w:r>
        <w:rPr>
          <w:sz w:val="32"/>
          <w:szCs w:val="32"/>
        </w:rPr>
        <w:t>年度收入、支出决算总计</w:t>
      </w:r>
      <w:r>
        <w:rPr>
          <w:rFonts w:hint="default" w:ascii="Times New Roman" w:hAnsi="Times New Roman" w:cs="Times New Roman"/>
          <w:sz w:val="32"/>
          <w:szCs w:val="32"/>
          <w:u w:val="single"/>
          <w:lang w:val="en-US"/>
        </w:rPr>
        <w:t>6,293.41</w:t>
      </w:r>
      <w:r>
        <w:rPr>
          <w:sz w:val="32"/>
          <w:szCs w:val="32"/>
        </w:rPr>
        <w:t>万元。与年初预算相比，收、支总计各增加</w:t>
      </w:r>
      <w:r>
        <w:rPr>
          <w:rFonts w:hint="default" w:ascii="Times New Roman" w:hAnsi="Times New Roman" w:cs="Times New Roman"/>
          <w:sz w:val="32"/>
          <w:szCs w:val="32"/>
          <w:u w:val="single"/>
          <w:lang w:val="en-US"/>
        </w:rPr>
        <w:t>5,060.57</w:t>
      </w:r>
      <w:r>
        <w:rPr>
          <w:sz w:val="32"/>
          <w:szCs w:val="32"/>
        </w:rPr>
        <w:t>万元，增长</w:t>
      </w:r>
      <w:r>
        <w:rPr>
          <w:rFonts w:hint="default" w:ascii="Times New Roman" w:hAnsi="Times New Roman" w:cs="Times New Roman"/>
          <w:sz w:val="32"/>
          <w:szCs w:val="32"/>
          <w:u w:val="single"/>
          <w:lang w:val="en-US"/>
        </w:rPr>
        <w:t>410.48</w:t>
      </w:r>
      <w:r>
        <w:rPr>
          <w:sz w:val="32"/>
          <w:szCs w:val="32"/>
          <w:lang w:val="en-US"/>
        </w:rPr>
        <w:t>%</w:t>
      </w:r>
      <w:r>
        <w:rPr>
          <w:sz w:val="32"/>
          <w:szCs w:val="32"/>
        </w:rPr>
        <w:t>，变动原因：</w:t>
      </w:r>
      <w:r>
        <w:rPr>
          <w:rFonts w:hint="eastAsia"/>
          <w:sz w:val="32"/>
          <w:szCs w:val="32"/>
          <w:lang w:val="en-US" w:eastAsia="zh-CN"/>
        </w:rPr>
        <w:t>年初预算未包括事业收入、事业支出</w:t>
      </w:r>
      <w:r>
        <w:rPr>
          <w:sz w:val="32"/>
          <w:szCs w:val="32"/>
        </w:rPr>
        <w:t>；与上年决算相比，收、支总计各</w:t>
      </w:r>
      <w:r>
        <w:rPr>
          <w:rFonts w:hint="eastAsia"/>
          <w:sz w:val="32"/>
          <w:szCs w:val="32"/>
          <w:lang w:val="en-US" w:eastAsia="zh-CN"/>
        </w:rPr>
        <w:t>减少</w:t>
      </w:r>
      <w:r>
        <w:rPr>
          <w:rFonts w:hint="default" w:ascii="Times New Roman" w:hAnsi="Times New Roman" w:cs="Times New Roman"/>
          <w:sz w:val="32"/>
          <w:szCs w:val="32"/>
          <w:u w:val="single"/>
          <w:lang w:val="en-US"/>
        </w:rPr>
        <w:t>3,624.85</w:t>
      </w:r>
      <w:r>
        <w:rPr>
          <w:sz w:val="32"/>
          <w:szCs w:val="32"/>
        </w:rPr>
        <w:t>万元，</w:t>
      </w:r>
      <w:r>
        <w:rPr>
          <w:rFonts w:hint="eastAsia"/>
          <w:sz w:val="32"/>
          <w:szCs w:val="32"/>
          <w:lang w:val="en-US" w:eastAsia="zh-CN"/>
        </w:rPr>
        <w:t>减少</w:t>
      </w:r>
      <w:r>
        <w:rPr>
          <w:rFonts w:hint="default" w:ascii="Times New Roman" w:hAnsi="Times New Roman" w:cs="Times New Roman"/>
          <w:sz w:val="32"/>
          <w:szCs w:val="32"/>
          <w:u w:val="single"/>
          <w:lang w:val="en-US"/>
        </w:rPr>
        <w:t>36.55</w:t>
      </w:r>
      <w:r>
        <w:rPr>
          <w:sz w:val="32"/>
          <w:szCs w:val="32"/>
          <w:lang w:val="en-US"/>
        </w:rPr>
        <w:t>%</w:t>
      </w:r>
      <w:r>
        <w:rPr>
          <w:sz w:val="32"/>
          <w:szCs w:val="32"/>
        </w:rPr>
        <w:t>。其中：</w:t>
      </w:r>
    </w:p>
    <w:p>
      <w:pPr>
        <w:keepNext w:val="0"/>
        <w:keepLines w:val="0"/>
        <w:widowControl/>
        <w:suppressLineNumbers w:val="0"/>
        <w:spacing w:before="0" w:beforeAutospacing="1" w:after="0" w:afterAutospacing="1" w:line="560" w:lineRule="atLeast"/>
        <w:ind w:left="0" w:right="0" w:firstLine="643"/>
        <w:jc w:val="both"/>
      </w:pPr>
      <w:r>
        <w:rPr>
          <w:rFonts w:ascii="楷体" w:hAnsi="楷体" w:eastAsia="楷体" w:cs="楷体"/>
          <w:b/>
          <w:bCs/>
          <w:sz w:val="32"/>
          <w:szCs w:val="32"/>
        </w:rPr>
        <w:t>（一）收入决算总计</w:t>
      </w:r>
      <w:r>
        <w:rPr>
          <w:rFonts w:hint="default" w:ascii="Times New Roman" w:hAnsi="Times New Roman" w:cs="Times New Roman"/>
          <w:sz w:val="32"/>
          <w:szCs w:val="32"/>
          <w:u w:val="single"/>
          <w:lang w:val="en-US"/>
        </w:rPr>
        <w:t>6,293.41</w:t>
      </w:r>
      <w:r>
        <w:rPr>
          <w:rFonts w:hint="eastAsia" w:ascii="楷体" w:hAnsi="楷体" w:eastAsia="楷体" w:cs="楷体"/>
          <w:b/>
          <w:bCs/>
          <w:sz w:val="32"/>
          <w:szCs w:val="32"/>
        </w:rPr>
        <w:t>万元。包括：</w:t>
      </w:r>
    </w:p>
    <w:p>
      <w:pPr>
        <w:keepNext w:val="0"/>
        <w:keepLines w:val="0"/>
        <w:widowControl/>
        <w:suppressLineNumbers w:val="0"/>
        <w:spacing w:before="0" w:beforeAutospacing="1" w:after="0" w:afterAutospacing="1" w:line="560" w:lineRule="atLeast"/>
        <w:ind w:left="0" w:right="0" w:firstLine="640"/>
        <w:jc w:val="both"/>
      </w:pPr>
      <w:r>
        <w:rPr>
          <w:rFonts w:hint="default" w:ascii="Times New Roman" w:hAnsi="Times New Roman" w:cs="Times New Roman"/>
          <w:sz w:val="32"/>
          <w:szCs w:val="32"/>
          <w:lang w:val="en-US"/>
        </w:rPr>
        <w:t>1.</w:t>
      </w:r>
      <w:r>
        <w:rPr>
          <w:sz w:val="32"/>
          <w:szCs w:val="32"/>
        </w:rPr>
        <w:t>本年收入决算合计</w:t>
      </w:r>
      <w:r>
        <w:rPr>
          <w:rFonts w:hint="default" w:ascii="Times New Roman" w:hAnsi="Times New Roman" w:cs="Times New Roman"/>
          <w:sz w:val="32"/>
          <w:szCs w:val="32"/>
          <w:u w:val="single"/>
          <w:lang w:val="en-US"/>
        </w:rPr>
        <w:t>6,039.77</w:t>
      </w:r>
      <w:r>
        <w:rPr>
          <w:sz w:val="32"/>
          <w:szCs w:val="32"/>
        </w:rPr>
        <w:t>万元。与上年决算相比，减少</w:t>
      </w:r>
      <w:r>
        <w:rPr>
          <w:rFonts w:hint="default" w:ascii="Times New Roman" w:hAnsi="Times New Roman" w:cs="Times New Roman"/>
          <w:sz w:val="32"/>
          <w:szCs w:val="32"/>
          <w:u w:val="single"/>
          <w:lang w:val="en-US"/>
        </w:rPr>
        <w:t>2,218.92</w:t>
      </w:r>
      <w:r>
        <w:rPr>
          <w:sz w:val="32"/>
          <w:szCs w:val="32"/>
        </w:rPr>
        <w:t>万元，减少</w:t>
      </w:r>
      <w:r>
        <w:rPr>
          <w:rFonts w:hint="default" w:ascii="Times New Roman" w:hAnsi="Times New Roman" w:cs="Times New Roman"/>
          <w:sz w:val="32"/>
          <w:szCs w:val="32"/>
          <w:u w:val="single"/>
          <w:lang w:val="en-US"/>
        </w:rPr>
        <w:t>26.87</w:t>
      </w:r>
      <w:r>
        <w:rPr>
          <w:sz w:val="32"/>
          <w:szCs w:val="32"/>
          <w:lang w:val="en-US"/>
        </w:rPr>
        <w:t>%</w:t>
      </w:r>
      <w:r>
        <w:rPr>
          <w:sz w:val="32"/>
          <w:szCs w:val="32"/>
        </w:rPr>
        <w:t>，变动原因：</w:t>
      </w:r>
      <w:r>
        <w:rPr>
          <w:rFonts w:hint="eastAsia"/>
          <w:sz w:val="32"/>
          <w:szCs w:val="32"/>
          <w:lang w:val="en-US" w:eastAsia="zh-CN"/>
        </w:rPr>
        <w:t>上年度包含专项债券收入2000万元，本年度无此项收入</w:t>
      </w:r>
      <w:r>
        <w:rPr>
          <w:sz w:val="32"/>
          <w:szCs w:val="32"/>
        </w:rPr>
        <w:t>。</w:t>
      </w:r>
    </w:p>
    <w:p>
      <w:pPr>
        <w:keepNext w:val="0"/>
        <w:keepLines w:val="0"/>
        <w:widowControl/>
        <w:suppressLineNumbers w:val="0"/>
        <w:spacing w:before="0" w:beforeAutospacing="1" w:after="0" w:afterAutospacing="1" w:line="560" w:lineRule="atLeast"/>
        <w:ind w:left="0" w:right="0" w:firstLine="640"/>
        <w:jc w:val="both"/>
      </w:pPr>
      <w:r>
        <w:rPr>
          <w:rFonts w:hint="default" w:ascii="Times New Roman" w:hAnsi="Times New Roman" w:cs="Times New Roman"/>
          <w:sz w:val="32"/>
          <w:szCs w:val="32"/>
          <w:lang w:val="en-US"/>
        </w:rPr>
        <w:t>2.</w:t>
      </w:r>
      <w:r>
        <w:rPr>
          <w:sz w:val="32"/>
          <w:szCs w:val="32"/>
        </w:rPr>
        <w:t>使用非财政拨款结余</w:t>
      </w:r>
      <w:r>
        <w:rPr>
          <w:rFonts w:hint="default" w:ascii="Times New Roman" w:hAnsi="Times New Roman" w:cs="Times New Roman"/>
          <w:sz w:val="32"/>
          <w:szCs w:val="32"/>
          <w:u w:val="single"/>
          <w:lang w:val="en-US"/>
        </w:rPr>
        <w:t>253.64</w:t>
      </w:r>
      <w:r>
        <w:rPr>
          <w:sz w:val="32"/>
          <w:szCs w:val="32"/>
        </w:rPr>
        <w:t>万元。与上年决算相比，增加</w:t>
      </w:r>
      <w:r>
        <w:rPr>
          <w:rFonts w:hint="default" w:ascii="Times New Roman" w:hAnsi="Times New Roman" w:cs="Times New Roman"/>
          <w:sz w:val="32"/>
          <w:szCs w:val="32"/>
          <w:u w:val="single"/>
          <w:lang w:val="en-US"/>
        </w:rPr>
        <w:t>253.64</w:t>
      </w:r>
      <w:r>
        <w:rPr>
          <w:sz w:val="32"/>
          <w:szCs w:val="32"/>
        </w:rPr>
        <w:t>万元，增长</w:t>
      </w:r>
      <w:r>
        <w:rPr>
          <w:rFonts w:hint="default" w:ascii="Times New Roman" w:hAnsi="Times New Roman" w:cs="Times New Roman"/>
          <w:sz w:val="32"/>
          <w:szCs w:val="32"/>
          <w:u w:val="single"/>
          <w:lang w:val="en-US"/>
        </w:rPr>
        <w:t>0.00</w:t>
      </w:r>
      <w:r>
        <w:rPr>
          <w:sz w:val="32"/>
          <w:szCs w:val="32"/>
          <w:lang w:val="en-US"/>
        </w:rPr>
        <w:t>%</w:t>
      </w:r>
      <w:r>
        <w:rPr>
          <w:sz w:val="32"/>
          <w:szCs w:val="32"/>
        </w:rPr>
        <w:t>，变动原因：</w:t>
      </w:r>
      <w:r>
        <w:rPr>
          <w:rFonts w:hint="eastAsia"/>
          <w:sz w:val="32"/>
          <w:szCs w:val="32"/>
          <w:lang w:val="en-US" w:eastAsia="zh-CN"/>
        </w:rPr>
        <w:t>本年度事业收入较上年度减少，使用非财政拨款结余资金进行日常运营</w:t>
      </w:r>
      <w:r>
        <w:rPr>
          <w:sz w:val="32"/>
          <w:szCs w:val="32"/>
        </w:rPr>
        <w:t>。</w:t>
      </w:r>
    </w:p>
    <w:p>
      <w:pPr>
        <w:keepNext w:val="0"/>
        <w:keepLines w:val="0"/>
        <w:widowControl/>
        <w:suppressLineNumbers w:val="0"/>
        <w:spacing w:before="0" w:beforeAutospacing="1" w:after="0" w:afterAutospacing="1" w:line="560" w:lineRule="atLeast"/>
        <w:ind w:left="0" w:right="0" w:firstLine="640"/>
        <w:jc w:val="both"/>
      </w:pPr>
      <w:r>
        <w:rPr>
          <w:rFonts w:hint="default" w:ascii="Times New Roman" w:hAnsi="Times New Roman" w:cs="Times New Roman"/>
          <w:sz w:val="32"/>
          <w:szCs w:val="32"/>
          <w:lang w:val="en-US"/>
        </w:rPr>
        <w:t>3.</w:t>
      </w:r>
      <w:r>
        <w:rPr>
          <w:sz w:val="32"/>
          <w:szCs w:val="32"/>
        </w:rPr>
        <w:t>年初结转和结余</w:t>
      </w:r>
      <w:r>
        <w:rPr>
          <w:rFonts w:hint="default" w:ascii="Times New Roman" w:hAnsi="Times New Roman" w:cs="Times New Roman"/>
          <w:sz w:val="32"/>
          <w:szCs w:val="32"/>
          <w:u w:val="single"/>
          <w:lang w:val="en-US"/>
        </w:rPr>
        <w:t>0.00</w:t>
      </w:r>
      <w:r>
        <w:rPr>
          <w:sz w:val="32"/>
          <w:szCs w:val="32"/>
        </w:rPr>
        <w:t>万元。与上年决算相比，减少</w:t>
      </w:r>
      <w:r>
        <w:rPr>
          <w:rFonts w:hint="default" w:ascii="Times New Roman" w:hAnsi="Times New Roman" w:cs="Times New Roman"/>
          <w:sz w:val="32"/>
          <w:szCs w:val="32"/>
          <w:u w:val="single"/>
          <w:lang w:val="en-US"/>
        </w:rPr>
        <w:t>1,659.57</w:t>
      </w:r>
      <w:r>
        <w:rPr>
          <w:sz w:val="32"/>
          <w:szCs w:val="32"/>
        </w:rPr>
        <w:t>万元，减少</w:t>
      </w:r>
      <w:r>
        <w:rPr>
          <w:rFonts w:hint="default" w:ascii="Times New Roman" w:hAnsi="Times New Roman" w:cs="Times New Roman"/>
          <w:sz w:val="32"/>
          <w:szCs w:val="32"/>
          <w:u w:val="single"/>
          <w:lang w:val="en-US"/>
        </w:rPr>
        <w:t>100.00</w:t>
      </w:r>
      <w:r>
        <w:rPr>
          <w:sz w:val="32"/>
          <w:szCs w:val="32"/>
          <w:lang w:val="en-US"/>
        </w:rPr>
        <w:t>%</w:t>
      </w:r>
      <w:r>
        <w:rPr>
          <w:sz w:val="32"/>
          <w:szCs w:val="32"/>
        </w:rPr>
        <w:t>，变动原因：</w:t>
      </w:r>
      <w:r>
        <w:rPr>
          <w:rFonts w:hint="eastAsia"/>
          <w:sz w:val="32"/>
          <w:szCs w:val="32"/>
          <w:lang w:val="en-US" w:eastAsia="zh-CN"/>
        </w:rPr>
        <w:t>上年度将非财政拨款结余资金填入非财政拨款结转中，本年度更正</w:t>
      </w:r>
      <w:r>
        <w:rPr>
          <w:sz w:val="32"/>
          <w:szCs w:val="32"/>
        </w:rPr>
        <w:t>。</w:t>
      </w:r>
    </w:p>
    <w:p>
      <w:pPr>
        <w:keepNext w:val="0"/>
        <w:keepLines w:val="0"/>
        <w:widowControl/>
        <w:suppressLineNumbers w:val="0"/>
        <w:spacing w:before="0" w:beforeAutospacing="1" w:after="0" w:afterAutospacing="1" w:line="560" w:lineRule="atLeast"/>
        <w:ind w:left="0" w:right="0" w:firstLine="643"/>
        <w:jc w:val="both"/>
      </w:pPr>
      <w:r>
        <w:rPr>
          <w:rFonts w:hint="eastAsia" w:ascii="楷体" w:hAnsi="楷体" w:eastAsia="楷体" w:cs="楷体"/>
          <w:b/>
          <w:bCs/>
          <w:sz w:val="32"/>
          <w:szCs w:val="32"/>
        </w:rPr>
        <w:t>（二）支出决算总计</w:t>
      </w:r>
      <w:r>
        <w:rPr>
          <w:rFonts w:hint="default" w:ascii="Times New Roman" w:hAnsi="Times New Roman" w:cs="Times New Roman"/>
          <w:sz w:val="32"/>
          <w:szCs w:val="32"/>
          <w:u w:val="single"/>
          <w:lang w:val="en-US"/>
        </w:rPr>
        <w:t>6,293.41</w:t>
      </w:r>
      <w:r>
        <w:rPr>
          <w:rFonts w:hint="eastAsia" w:ascii="楷体" w:hAnsi="楷体" w:eastAsia="楷体" w:cs="楷体"/>
          <w:b/>
          <w:bCs/>
          <w:sz w:val="32"/>
          <w:szCs w:val="32"/>
        </w:rPr>
        <w:t>万元。包括：</w:t>
      </w:r>
    </w:p>
    <w:p>
      <w:pPr>
        <w:keepNext w:val="0"/>
        <w:keepLines w:val="0"/>
        <w:widowControl/>
        <w:suppressLineNumbers w:val="0"/>
        <w:spacing w:before="0" w:beforeAutospacing="1" w:after="0" w:afterAutospacing="1" w:line="560" w:lineRule="atLeast"/>
        <w:ind w:left="0" w:right="0" w:firstLine="640"/>
        <w:jc w:val="both"/>
      </w:pPr>
      <w:r>
        <w:rPr>
          <w:rFonts w:hint="default" w:ascii="Times New Roman" w:hAnsi="Times New Roman" w:cs="Times New Roman"/>
          <w:sz w:val="32"/>
          <w:szCs w:val="32"/>
          <w:lang w:val="en-US"/>
        </w:rPr>
        <w:t>1.</w:t>
      </w:r>
      <w:r>
        <w:rPr>
          <w:sz w:val="32"/>
          <w:szCs w:val="32"/>
        </w:rPr>
        <w:t>本年支出决算合计</w:t>
      </w:r>
      <w:r>
        <w:rPr>
          <w:rFonts w:hint="default" w:ascii="Times New Roman" w:hAnsi="Times New Roman" w:cs="Times New Roman"/>
          <w:sz w:val="32"/>
          <w:szCs w:val="32"/>
          <w:u w:val="single"/>
          <w:lang w:val="en-US"/>
        </w:rPr>
        <w:t>6,293.41</w:t>
      </w:r>
      <w:r>
        <w:rPr>
          <w:sz w:val="32"/>
          <w:szCs w:val="32"/>
        </w:rPr>
        <w:t>万元。与上年决算相比，减少</w:t>
      </w:r>
      <w:r>
        <w:rPr>
          <w:rFonts w:hint="default" w:ascii="Times New Roman" w:hAnsi="Times New Roman" w:cs="Times New Roman"/>
          <w:sz w:val="32"/>
          <w:szCs w:val="32"/>
          <w:u w:val="single"/>
          <w:lang w:val="en-US"/>
        </w:rPr>
        <w:t>1,967.90</w:t>
      </w:r>
      <w:r>
        <w:rPr>
          <w:sz w:val="32"/>
          <w:szCs w:val="32"/>
        </w:rPr>
        <w:t>万元，减少</w:t>
      </w:r>
      <w:r>
        <w:rPr>
          <w:rFonts w:hint="default" w:ascii="Times New Roman" w:hAnsi="Times New Roman" w:cs="Times New Roman"/>
          <w:sz w:val="32"/>
          <w:szCs w:val="32"/>
          <w:u w:val="single"/>
          <w:lang w:val="en-US"/>
        </w:rPr>
        <w:t>23.82</w:t>
      </w:r>
      <w:r>
        <w:rPr>
          <w:sz w:val="32"/>
          <w:szCs w:val="32"/>
          <w:lang w:val="en-US"/>
        </w:rPr>
        <w:t>%</w:t>
      </w:r>
      <w:r>
        <w:rPr>
          <w:sz w:val="32"/>
          <w:szCs w:val="32"/>
        </w:rPr>
        <w:t>，变动原因：</w:t>
      </w:r>
      <w:r>
        <w:rPr>
          <w:rFonts w:hint="eastAsia"/>
          <w:sz w:val="32"/>
          <w:szCs w:val="32"/>
          <w:lang w:val="en-US" w:eastAsia="zh-CN"/>
        </w:rPr>
        <w:t>上年度支出包含专项债券资金支出，本年度无此项支出</w:t>
      </w:r>
      <w:r>
        <w:rPr>
          <w:sz w:val="32"/>
          <w:szCs w:val="32"/>
        </w:rPr>
        <w:t>。</w:t>
      </w:r>
    </w:p>
    <w:p>
      <w:pPr>
        <w:keepNext w:val="0"/>
        <w:keepLines w:val="0"/>
        <w:widowControl/>
        <w:suppressLineNumbers w:val="0"/>
        <w:spacing w:before="0" w:beforeAutospacing="1" w:after="0" w:afterAutospacing="1" w:line="560" w:lineRule="atLeast"/>
        <w:ind w:left="0" w:right="0" w:firstLine="640"/>
        <w:jc w:val="both"/>
      </w:pPr>
      <w:r>
        <w:rPr>
          <w:rFonts w:hint="default" w:ascii="Times New Roman" w:hAnsi="Times New Roman" w:cs="Times New Roman"/>
          <w:sz w:val="32"/>
          <w:szCs w:val="32"/>
          <w:lang w:val="en-US"/>
        </w:rPr>
        <w:t>2.</w:t>
      </w:r>
      <w:r>
        <w:rPr>
          <w:sz w:val="32"/>
          <w:szCs w:val="32"/>
        </w:rPr>
        <w:t>结余分配</w:t>
      </w:r>
      <w:r>
        <w:rPr>
          <w:rFonts w:hint="default" w:ascii="Times New Roman" w:hAnsi="Times New Roman" w:cs="Times New Roman"/>
          <w:sz w:val="32"/>
          <w:szCs w:val="32"/>
          <w:u w:val="single"/>
          <w:lang w:val="en-US"/>
        </w:rPr>
        <w:t>0.00</w:t>
      </w:r>
      <w:r>
        <w:rPr>
          <w:sz w:val="32"/>
          <w:szCs w:val="32"/>
        </w:rPr>
        <w:t>万元。</w:t>
      </w:r>
      <w:r>
        <w:rPr>
          <w:rFonts w:hint="eastAsia"/>
          <w:sz w:val="32"/>
          <w:szCs w:val="32"/>
          <w:lang w:val="en-US" w:eastAsia="zh-CN"/>
        </w:rPr>
        <w:t>无</w:t>
      </w:r>
      <w:r>
        <w:rPr>
          <w:sz w:val="32"/>
          <w:szCs w:val="32"/>
        </w:rPr>
        <w:t>结余分配事项。与上年决算相比，增加（减少）</w:t>
      </w:r>
      <w:r>
        <w:rPr>
          <w:rFonts w:hint="default" w:ascii="Times New Roman" w:hAnsi="Times New Roman" w:cs="Times New Roman"/>
          <w:sz w:val="32"/>
          <w:szCs w:val="32"/>
          <w:u w:val="single"/>
          <w:lang w:val="en-US"/>
        </w:rPr>
        <w:t>0.00</w:t>
      </w:r>
      <w:r>
        <w:rPr>
          <w:sz w:val="32"/>
          <w:szCs w:val="32"/>
        </w:rPr>
        <w:t>万元，增长（减少）</w:t>
      </w:r>
      <w:r>
        <w:rPr>
          <w:rFonts w:hint="default" w:ascii="Times New Roman" w:hAnsi="Times New Roman" w:cs="Times New Roman"/>
          <w:sz w:val="32"/>
          <w:szCs w:val="32"/>
          <w:u w:val="single"/>
          <w:lang w:val="en-US"/>
        </w:rPr>
        <w:t>0.00</w:t>
      </w:r>
      <w:r>
        <w:rPr>
          <w:sz w:val="32"/>
          <w:szCs w:val="32"/>
          <w:lang w:val="en-US"/>
        </w:rPr>
        <w:t>%</w:t>
      </w:r>
      <w:r>
        <w:rPr>
          <w:rFonts w:hint="eastAsia"/>
          <w:sz w:val="32"/>
          <w:szCs w:val="32"/>
          <w:lang w:val="en-US" w:eastAsia="zh-CN"/>
        </w:rPr>
        <w:t>，主要原因：不存在此项内容</w:t>
      </w:r>
      <w:r>
        <w:rPr>
          <w:sz w:val="32"/>
          <w:szCs w:val="32"/>
        </w:rPr>
        <w:t>。</w:t>
      </w:r>
    </w:p>
    <w:p>
      <w:pPr>
        <w:keepNext w:val="0"/>
        <w:keepLines w:val="0"/>
        <w:widowControl/>
        <w:suppressLineNumbers w:val="0"/>
        <w:spacing w:before="0" w:beforeAutospacing="1" w:after="0" w:afterAutospacing="1" w:line="560" w:lineRule="atLeast"/>
        <w:ind w:left="0" w:right="0" w:firstLine="640"/>
        <w:jc w:val="both"/>
      </w:pPr>
      <w:r>
        <w:rPr>
          <w:rFonts w:hint="default" w:ascii="Times New Roman" w:hAnsi="Times New Roman" w:cs="Times New Roman"/>
          <w:sz w:val="32"/>
          <w:szCs w:val="32"/>
          <w:lang w:val="en-US"/>
        </w:rPr>
        <w:t>3.</w:t>
      </w:r>
      <w:r>
        <w:rPr>
          <w:sz w:val="32"/>
          <w:szCs w:val="32"/>
        </w:rPr>
        <w:t>年末结转和结余</w:t>
      </w:r>
      <w:r>
        <w:rPr>
          <w:rFonts w:hint="default" w:ascii="Times New Roman" w:hAnsi="Times New Roman" w:cs="Times New Roman"/>
          <w:sz w:val="32"/>
          <w:szCs w:val="32"/>
          <w:u w:val="single"/>
          <w:lang w:val="en-US"/>
        </w:rPr>
        <w:t>0.00</w:t>
      </w:r>
      <w:r>
        <w:rPr>
          <w:sz w:val="32"/>
          <w:szCs w:val="32"/>
        </w:rPr>
        <w:t>万元。</w:t>
      </w:r>
      <w:r>
        <w:rPr>
          <w:rFonts w:hint="eastAsia"/>
          <w:sz w:val="32"/>
          <w:szCs w:val="32"/>
          <w:lang w:val="en-US" w:eastAsia="zh-CN"/>
        </w:rPr>
        <w:t>无</w:t>
      </w:r>
      <w:r>
        <w:rPr>
          <w:sz w:val="32"/>
          <w:szCs w:val="32"/>
        </w:rPr>
        <w:t>结转和结余事项。与上年决算相比，减少</w:t>
      </w:r>
      <w:r>
        <w:rPr>
          <w:rFonts w:hint="default" w:ascii="Times New Roman" w:hAnsi="Times New Roman" w:cs="Times New Roman"/>
          <w:sz w:val="32"/>
          <w:szCs w:val="32"/>
          <w:u w:val="single"/>
          <w:lang w:val="en-US"/>
        </w:rPr>
        <w:t>1,656.95</w:t>
      </w:r>
      <w:r>
        <w:rPr>
          <w:sz w:val="32"/>
          <w:szCs w:val="32"/>
        </w:rPr>
        <w:t>万元，减少</w:t>
      </w:r>
      <w:r>
        <w:rPr>
          <w:rFonts w:hint="default" w:ascii="Times New Roman" w:hAnsi="Times New Roman" w:cs="Times New Roman"/>
          <w:sz w:val="32"/>
          <w:szCs w:val="32"/>
          <w:u w:val="single"/>
          <w:lang w:val="en-US"/>
        </w:rPr>
        <w:t>100.00</w:t>
      </w:r>
      <w:r>
        <w:rPr>
          <w:sz w:val="32"/>
          <w:szCs w:val="32"/>
          <w:lang w:val="en-US"/>
        </w:rPr>
        <w:t>%</w:t>
      </w:r>
      <w:r>
        <w:rPr>
          <w:sz w:val="32"/>
          <w:szCs w:val="32"/>
        </w:rPr>
        <w:t>，变动原因：</w:t>
      </w:r>
      <w:r>
        <w:rPr>
          <w:rFonts w:hint="eastAsia"/>
          <w:sz w:val="32"/>
          <w:szCs w:val="32"/>
          <w:lang w:val="en-US" w:eastAsia="zh-CN"/>
        </w:rPr>
        <w:t>上年度将非财政拨款结余资金填入非财政拨款结转中，本年度更正</w:t>
      </w:r>
      <w:r>
        <w:rPr>
          <w:sz w:val="32"/>
          <w:szCs w:val="32"/>
        </w:rPr>
        <w:t>。</w:t>
      </w:r>
    </w:p>
    <w:p>
      <w:pPr>
        <w:keepNext w:val="0"/>
        <w:keepLines w:val="0"/>
        <w:widowControl/>
        <w:suppressLineNumbers w:val="0"/>
        <w:spacing w:before="0" w:beforeAutospacing="1" w:after="0" w:afterAutospacing="1" w:line="600" w:lineRule="atLeast"/>
        <w:ind w:left="0" w:right="0" w:firstLine="643"/>
        <w:jc w:val="both"/>
      </w:pPr>
      <w:r>
        <w:rPr>
          <w:rFonts w:hint="eastAsia" w:ascii="黑体" w:hAnsi="宋体" w:eastAsia="黑体" w:cs="黑体"/>
          <w:b/>
          <w:bCs/>
          <w:sz w:val="32"/>
          <w:szCs w:val="32"/>
        </w:rPr>
        <w:t>二、收入决算情况说明</w:t>
      </w:r>
    </w:p>
    <w:p>
      <w:pPr>
        <w:keepNext w:val="0"/>
        <w:keepLines w:val="0"/>
        <w:widowControl/>
        <w:suppressLineNumbers w:val="0"/>
        <w:spacing w:before="0" w:beforeAutospacing="1" w:after="0" w:afterAutospacing="1" w:line="560" w:lineRule="atLeast"/>
        <w:ind w:left="0" w:right="0" w:firstLine="640"/>
        <w:jc w:val="both"/>
      </w:pPr>
      <w:r>
        <w:rPr>
          <w:sz w:val="32"/>
          <w:szCs w:val="32"/>
          <w:lang w:val="en-US"/>
        </w:rPr>
        <w:t>锡林郭勒盟安神医院单位2022</w:t>
      </w:r>
      <w:r>
        <w:rPr>
          <w:sz w:val="32"/>
          <w:szCs w:val="32"/>
        </w:rPr>
        <w:t>年度本年收入决算合计</w:t>
      </w:r>
      <w:r>
        <w:rPr>
          <w:rFonts w:hint="default" w:ascii="Times New Roman" w:hAnsi="Times New Roman" w:cs="Times New Roman"/>
          <w:sz w:val="32"/>
          <w:szCs w:val="32"/>
          <w:u w:val="single"/>
          <w:lang w:val="en-US"/>
        </w:rPr>
        <w:t>6,039.77</w:t>
      </w:r>
      <w:r>
        <w:rPr>
          <w:sz w:val="32"/>
          <w:szCs w:val="32"/>
        </w:rPr>
        <w:t>万元，其中：</w:t>
      </w:r>
    </w:p>
    <w:p>
      <w:pPr>
        <w:keepNext w:val="0"/>
        <w:keepLines w:val="0"/>
        <w:widowControl/>
        <w:suppressLineNumbers w:val="0"/>
        <w:spacing w:before="0" w:beforeAutospacing="1" w:after="0" w:afterAutospacing="1" w:line="560" w:lineRule="atLeast"/>
        <w:ind w:left="0" w:right="0" w:firstLine="640"/>
        <w:jc w:val="both"/>
      </w:pPr>
      <w:r>
        <w:rPr>
          <w:sz w:val="32"/>
          <w:szCs w:val="32"/>
        </w:rPr>
        <w:t>本年一般公共预算财政拨款收入</w:t>
      </w:r>
      <w:r>
        <w:rPr>
          <w:rFonts w:hint="default" w:ascii="Times New Roman" w:hAnsi="Times New Roman" w:cs="Times New Roman"/>
          <w:sz w:val="32"/>
          <w:szCs w:val="32"/>
          <w:u w:val="single"/>
          <w:lang w:val="en-US"/>
        </w:rPr>
        <w:t>1,466.52</w:t>
      </w:r>
      <w:r>
        <w:rPr>
          <w:sz w:val="32"/>
          <w:szCs w:val="32"/>
        </w:rPr>
        <w:t>万元，占</w:t>
      </w:r>
      <w:r>
        <w:rPr>
          <w:rFonts w:hint="default" w:ascii="Times New Roman" w:hAnsi="Times New Roman" w:cs="Times New Roman"/>
          <w:sz w:val="32"/>
          <w:szCs w:val="32"/>
          <w:u w:val="single"/>
          <w:lang w:val="en-US"/>
        </w:rPr>
        <w:t>24.28</w:t>
      </w:r>
      <w:r>
        <w:rPr>
          <w:sz w:val="32"/>
          <w:szCs w:val="32"/>
          <w:lang w:val="en-US"/>
        </w:rPr>
        <w:t>%</w:t>
      </w:r>
      <w:r>
        <w:rPr>
          <w:sz w:val="32"/>
          <w:szCs w:val="32"/>
        </w:rPr>
        <w:t>；</w:t>
      </w:r>
    </w:p>
    <w:p>
      <w:pPr>
        <w:keepNext w:val="0"/>
        <w:keepLines w:val="0"/>
        <w:widowControl/>
        <w:suppressLineNumbers w:val="0"/>
        <w:spacing w:before="0" w:beforeAutospacing="1" w:after="0" w:afterAutospacing="1" w:line="560" w:lineRule="atLeast"/>
        <w:ind w:left="0" w:right="0" w:firstLine="640"/>
        <w:jc w:val="both"/>
      </w:pPr>
      <w:r>
        <w:rPr>
          <w:sz w:val="32"/>
          <w:szCs w:val="32"/>
        </w:rPr>
        <w:t>本年政府性基金预算财政拨款收入</w:t>
      </w:r>
      <w:r>
        <w:rPr>
          <w:rFonts w:hint="default" w:ascii="Times New Roman" w:hAnsi="Times New Roman" w:cs="Times New Roman"/>
          <w:sz w:val="32"/>
          <w:szCs w:val="32"/>
          <w:u w:val="single"/>
          <w:lang w:val="en-US"/>
        </w:rPr>
        <w:t>17</w:t>
      </w:r>
      <w:r>
        <w:rPr>
          <w:sz w:val="32"/>
          <w:szCs w:val="32"/>
        </w:rPr>
        <w:t>万元，占</w:t>
      </w:r>
      <w:r>
        <w:rPr>
          <w:rFonts w:hint="default" w:ascii="Times New Roman" w:hAnsi="Times New Roman" w:cs="Times New Roman"/>
          <w:sz w:val="32"/>
          <w:szCs w:val="32"/>
          <w:u w:val="single"/>
          <w:lang w:val="en-US"/>
        </w:rPr>
        <w:t>0.28</w:t>
      </w:r>
      <w:r>
        <w:rPr>
          <w:sz w:val="32"/>
          <w:szCs w:val="32"/>
          <w:lang w:val="en-US"/>
        </w:rPr>
        <w:t>%</w:t>
      </w:r>
      <w:r>
        <w:rPr>
          <w:sz w:val="32"/>
          <w:szCs w:val="32"/>
        </w:rPr>
        <w:t>；</w:t>
      </w:r>
    </w:p>
    <w:p>
      <w:pPr>
        <w:keepNext w:val="0"/>
        <w:keepLines w:val="0"/>
        <w:widowControl/>
        <w:suppressLineNumbers w:val="0"/>
        <w:spacing w:before="0" w:beforeAutospacing="1" w:after="0" w:afterAutospacing="1" w:line="560" w:lineRule="atLeast"/>
        <w:ind w:left="0" w:right="0" w:firstLine="640"/>
        <w:jc w:val="both"/>
      </w:pPr>
      <w:r>
        <w:rPr>
          <w:sz w:val="32"/>
          <w:szCs w:val="32"/>
        </w:rPr>
        <w:t>本年国有资本经营预算财政拨款收入</w:t>
      </w:r>
      <w:r>
        <w:rPr>
          <w:rFonts w:hint="default" w:ascii="Times New Roman" w:hAnsi="Times New Roman" w:cs="Times New Roman"/>
          <w:sz w:val="32"/>
          <w:szCs w:val="32"/>
          <w:u w:val="single"/>
          <w:lang w:val="en-US"/>
        </w:rPr>
        <w:t>0.00</w:t>
      </w:r>
      <w:r>
        <w:rPr>
          <w:sz w:val="32"/>
          <w:szCs w:val="32"/>
        </w:rPr>
        <w:t>万元，占</w:t>
      </w:r>
      <w:r>
        <w:rPr>
          <w:rFonts w:hint="default" w:ascii="Times New Roman" w:hAnsi="Times New Roman" w:cs="Times New Roman"/>
          <w:sz w:val="32"/>
          <w:szCs w:val="32"/>
          <w:u w:val="single"/>
          <w:lang w:val="en-US"/>
        </w:rPr>
        <w:t>0.00</w:t>
      </w:r>
      <w:r>
        <w:rPr>
          <w:sz w:val="32"/>
          <w:szCs w:val="32"/>
          <w:lang w:val="en-US"/>
        </w:rPr>
        <w:t>%</w:t>
      </w:r>
      <w:r>
        <w:rPr>
          <w:sz w:val="32"/>
          <w:szCs w:val="32"/>
        </w:rPr>
        <w:t>；</w:t>
      </w:r>
    </w:p>
    <w:p>
      <w:pPr>
        <w:keepNext w:val="0"/>
        <w:keepLines w:val="0"/>
        <w:widowControl/>
        <w:suppressLineNumbers w:val="0"/>
        <w:spacing w:before="0" w:beforeAutospacing="1" w:after="0" w:afterAutospacing="1" w:line="560" w:lineRule="atLeast"/>
        <w:ind w:left="0" w:right="0" w:firstLine="640"/>
        <w:jc w:val="both"/>
      </w:pPr>
      <w:r>
        <w:rPr>
          <w:sz w:val="32"/>
          <w:szCs w:val="32"/>
        </w:rPr>
        <w:t>本年上级补助收入</w:t>
      </w:r>
      <w:r>
        <w:rPr>
          <w:rFonts w:hint="default" w:ascii="Times New Roman" w:hAnsi="Times New Roman" w:cs="Times New Roman"/>
          <w:sz w:val="32"/>
          <w:szCs w:val="32"/>
          <w:u w:val="single"/>
          <w:lang w:val="en-US"/>
        </w:rPr>
        <w:t>0.00</w:t>
      </w:r>
      <w:r>
        <w:rPr>
          <w:sz w:val="32"/>
          <w:szCs w:val="32"/>
        </w:rPr>
        <w:t>万元，占</w:t>
      </w:r>
      <w:r>
        <w:rPr>
          <w:rFonts w:hint="default" w:ascii="Times New Roman" w:hAnsi="Times New Roman" w:cs="Times New Roman"/>
          <w:sz w:val="32"/>
          <w:szCs w:val="32"/>
          <w:u w:val="single"/>
          <w:lang w:val="en-US"/>
        </w:rPr>
        <w:t>0.00</w:t>
      </w:r>
      <w:r>
        <w:rPr>
          <w:sz w:val="32"/>
          <w:szCs w:val="32"/>
          <w:lang w:val="en-US"/>
        </w:rPr>
        <w:t>%</w:t>
      </w:r>
      <w:r>
        <w:rPr>
          <w:sz w:val="32"/>
          <w:szCs w:val="32"/>
        </w:rPr>
        <w:t>；</w:t>
      </w:r>
    </w:p>
    <w:p>
      <w:pPr>
        <w:keepNext w:val="0"/>
        <w:keepLines w:val="0"/>
        <w:widowControl/>
        <w:suppressLineNumbers w:val="0"/>
        <w:spacing w:before="0" w:beforeAutospacing="1" w:after="0" w:afterAutospacing="1" w:line="560" w:lineRule="atLeast"/>
        <w:ind w:left="0" w:right="0" w:firstLine="640"/>
        <w:jc w:val="both"/>
      </w:pPr>
      <w:r>
        <w:rPr>
          <w:sz w:val="32"/>
          <w:szCs w:val="32"/>
        </w:rPr>
        <w:t>本年事业收入</w:t>
      </w:r>
      <w:r>
        <w:rPr>
          <w:rFonts w:hint="default" w:ascii="Times New Roman" w:hAnsi="Times New Roman" w:cs="Times New Roman"/>
          <w:sz w:val="32"/>
          <w:szCs w:val="32"/>
          <w:u w:val="single"/>
          <w:lang w:val="en-US"/>
        </w:rPr>
        <w:t>4,508.51</w:t>
      </w:r>
      <w:r>
        <w:rPr>
          <w:sz w:val="32"/>
          <w:szCs w:val="32"/>
        </w:rPr>
        <w:t>万元，占</w:t>
      </w:r>
      <w:r>
        <w:rPr>
          <w:rFonts w:hint="default" w:ascii="Times New Roman" w:hAnsi="Times New Roman" w:cs="Times New Roman"/>
          <w:sz w:val="32"/>
          <w:szCs w:val="32"/>
          <w:u w:val="single"/>
          <w:lang w:val="en-US"/>
        </w:rPr>
        <w:t>74.65</w:t>
      </w:r>
      <w:r>
        <w:rPr>
          <w:sz w:val="32"/>
          <w:szCs w:val="32"/>
          <w:lang w:val="en-US"/>
        </w:rPr>
        <w:t>%</w:t>
      </w:r>
      <w:r>
        <w:rPr>
          <w:sz w:val="32"/>
          <w:szCs w:val="32"/>
        </w:rPr>
        <w:t>；</w:t>
      </w:r>
    </w:p>
    <w:p>
      <w:pPr>
        <w:keepNext w:val="0"/>
        <w:keepLines w:val="0"/>
        <w:widowControl/>
        <w:suppressLineNumbers w:val="0"/>
        <w:spacing w:before="0" w:beforeAutospacing="1" w:after="0" w:afterAutospacing="1" w:line="560" w:lineRule="atLeast"/>
        <w:ind w:left="0" w:right="0" w:firstLine="640"/>
        <w:jc w:val="both"/>
      </w:pPr>
      <w:r>
        <w:rPr>
          <w:sz w:val="32"/>
          <w:szCs w:val="32"/>
        </w:rPr>
        <w:t>本年经营收入</w:t>
      </w:r>
      <w:r>
        <w:rPr>
          <w:rFonts w:hint="default" w:ascii="Times New Roman" w:hAnsi="Times New Roman" w:cs="Times New Roman"/>
          <w:sz w:val="32"/>
          <w:szCs w:val="32"/>
          <w:u w:val="single"/>
          <w:lang w:val="en-US"/>
        </w:rPr>
        <w:t>0.00</w:t>
      </w:r>
      <w:r>
        <w:rPr>
          <w:sz w:val="32"/>
          <w:szCs w:val="32"/>
        </w:rPr>
        <w:t>万元，占</w:t>
      </w:r>
      <w:r>
        <w:rPr>
          <w:rFonts w:hint="default" w:ascii="Times New Roman" w:hAnsi="Times New Roman" w:cs="Times New Roman"/>
          <w:sz w:val="32"/>
          <w:szCs w:val="32"/>
          <w:u w:val="single"/>
          <w:lang w:val="en-US"/>
        </w:rPr>
        <w:t>0.00</w:t>
      </w:r>
      <w:r>
        <w:rPr>
          <w:sz w:val="32"/>
          <w:szCs w:val="32"/>
          <w:lang w:val="en-US"/>
        </w:rPr>
        <w:t>%</w:t>
      </w:r>
      <w:r>
        <w:rPr>
          <w:sz w:val="32"/>
          <w:szCs w:val="32"/>
        </w:rPr>
        <w:t>；</w:t>
      </w:r>
    </w:p>
    <w:p>
      <w:pPr>
        <w:keepNext w:val="0"/>
        <w:keepLines w:val="0"/>
        <w:widowControl/>
        <w:suppressLineNumbers w:val="0"/>
        <w:spacing w:before="0" w:beforeAutospacing="1" w:after="0" w:afterAutospacing="1" w:line="560" w:lineRule="atLeast"/>
        <w:ind w:left="0" w:right="0" w:firstLine="640"/>
        <w:jc w:val="both"/>
      </w:pPr>
      <w:r>
        <w:rPr>
          <w:sz w:val="32"/>
          <w:szCs w:val="32"/>
        </w:rPr>
        <w:t>本年附属单位上缴收入</w:t>
      </w:r>
      <w:r>
        <w:rPr>
          <w:rFonts w:hint="default" w:ascii="Times New Roman" w:hAnsi="Times New Roman" w:cs="Times New Roman"/>
          <w:sz w:val="32"/>
          <w:szCs w:val="32"/>
          <w:u w:val="single"/>
          <w:lang w:val="en-US"/>
        </w:rPr>
        <w:t>0.00</w:t>
      </w:r>
      <w:r>
        <w:rPr>
          <w:sz w:val="32"/>
          <w:szCs w:val="32"/>
        </w:rPr>
        <w:t>万元，占</w:t>
      </w:r>
      <w:r>
        <w:rPr>
          <w:rFonts w:hint="default" w:ascii="Times New Roman" w:hAnsi="Times New Roman" w:cs="Times New Roman"/>
          <w:sz w:val="32"/>
          <w:szCs w:val="32"/>
          <w:u w:val="single"/>
          <w:lang w:val="en-US"/>
        </w:rPr>
        <w:t>0.00</w:t>
      </w:r>
      <w:r>
        <w:rPr>
          <w:sz w:val="32"/>
          <w:szCs w:val="32"/>
          <w:lang w:val="en-US"/>
        </w:rPr>
        <w:t>%</w:t>
      </w:r>
      <w:r>
        <w:rPr>
          <w:sz w:val="32"/>
          <w:szCs w:val="32"/>
        </w:rPr>
        <w:t>；</w:t>
      </w:r>
    </w:p>
    <w:p>
      <w:pPr>
        <w:keepNext w:val="0"/>
        <w:keepLines w:val="0"/>
        <w:widowControl/>
        <w:suppressLineNumbers w:val="0"/>
        <w:spacing w:before="0" w:beforeAutospacing="1" w:after="0" w:afterAutospacing="1" w:line="560" w:lineRule="atLeast"/>
        <w:ind w:left="0" w:right="0" w:firstLine="640"/>
        <w:jc w:val="both"/>
      </w:pPr>
      <w:r>
        <w:rPr>
          <w:sz w:val="32"/>
          <w:szCs w:val="32"/>
        </w:rPr>
        <w:t>本年其他收入</w:t>
      </w:r>
      <w:r>
        <w:rPr>
          <w:rFonts w:hint="default" w:ascii="Times New Roman" w:hAnsi="Times New Roman" w:cs="Times New Roman"/>
          <w:sz w:val="32"/>
          <w:szCs w:val="32"/>
          <w:u w:val="single"/>
          <w:lang w:val="en-US"/>
        </w:rPr>
        <w:t>47.92</w:t>
      </w:r>
      <w:r>
        <w:rPr>
          <w:sz w:val="32"/>
          <w:szCs w:val="32"/>
        </w:rPr>
        <w:t>万元，占</w:t>
      </w:r>
      <w:r>
        <w:rPr>
          <w:rFonts w:hint="default" w:ascii="Times New Roman" w:hAnsi="Times New Roman" w:cs="Times New Roman"/>
          <w:sz w:val="32"/>
          <w:szCs w:val="32"/>
          <w:u w:val="single"/>
          <w:lang w:val="en-US"/>
        </w:rPr>
        <w:t>0.79</w:t>
      </w:r>
      <w:r>
        <w:rPr>
          <w:sz w:val="32"/>
          <w:szCs w:val="32"/>
          <w:lang w:val="en-US"/>
        </w:rPr>
        <w:t>%</w:t>
      </w:r>
      <w:r>
        <w:rPr>
          <w:sz w:val="32"/>
          <w:szCs w:val="32"/>
        </w:rPr>
        <w:t>。</w:t>
      </w:r>
    </w:p>
    <w:p>
      <w:pPr>
        <w:keepNext w:val="0"/>
        <w:keepLines w:val="0"/>
        <w:widowControl/>
        <w:suppressLineNumbers w:val="0"/>
        <w:spacing w:before="0" w:beforeAutospacing="1" w:after="0" w:afterAutospacing="1" w:line="560" w:lineRule="atLeast"/>
        <w:ind w:left="0" w:right="0" w:firstLine="640"/>
        <w:jc w:val="center"/>
      </w:pPr>
      <w:r>
        <w:rPr>
          <w:rFonts w:hint="default" w:ascii="Times New Roman" w:hAnsi="Times New Roman" w:cs="Times New Roman"/>
          <w:sz w:val="32"/>
          <w:szCs w:val="32"/>
          <w:lang w:val="en-US"/>
        </w:rPr>
        <w:t> </w:t>
      </w:r>
    </w:p>
    <w:p>
      <w:pPr>
        <w:keepNext w:val="0"/>
        <w:keepLines w:val="0"/>
        <w:widowControl/>
        <w:suppressLineNumbers w:val="0"/>
        <w:spacing w:before="0" w:beforeAutospacing="1" w:after="0" w:afterAutospacing="1" w:line="560" w:lineRule="atLeast"/>
        <w:ind w:left="0" w:right="0" w:firstLine="640"/>
        <w:jc w:val="center"/>
      </w:pPr>
      <w:r>
        <w:rPr>
          <w:rFonts w:hint="default" w:ascii="Times New Roman" w:hAnsi="Times New Roman" w:cs="Times New Roman"/>
          <w:sz w:val="32"/>
          <w:szCs w:val="32"/>
          <w:lang w:val="en-US"/>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hint="default" w:ascii="Times New Roman" w:hAnsi="Times New Roman" w:cs="Times New Roman"/>
          <w:sz w:val="32"/>
          <w:szCs w:val="32"/>
          <w:lang w:val="en-US"/>
        </w:rPr>
        <w:t> </w:t>
      </w:r>
    </w:p>
    <w:p>
      <w:pPr>
        <w:keepNext w:val="0"/>
        <w:keepLines w:val="0"/>
        <w:widowControl/>
        <w:suppressLineNumbers w:val="0"/>
        <w:spacing w:before="0" w:beforeAutospacing="1" w:after="0" w:afterAutospacing="1" w:line="560" w:lineRule="atLeast"/>
        <w:ind w:left="0" w:right="0" w:firstLine="640"/>
        <w:jc w:val="center"/>
      </w:pPr>
      <w:r>
        <w:rPr>
          <w:sz w:val="32"/>
          <w:szCs w:val="32"/>
        </w:rPr>
        <w:t>图</w:t>
      </w:r>
      <w:r>
        <w:rPr>
          <w:rFonts w:hint="default" w:ascii="Times New Roman" w:hAnsi="Times New Roman" w:cs="Times New Roman"/>
          <w:sz w:val="32"/>
          <w:szCs w:val="32"/>
          <w:lang w:val="en-US"/>
        </w:rPr>
        <w:t>1.</w:t>
      </w:r>
      <w:r>
        <w:rPr>
          <w:sz w:val="32"/>
          <w:szCs w:val="32"/>
        </w:rPr>
        <w:t>收入决算图</w:t>
      </w:r>
      <w:r>
        <w:rPr>
          <w:color w:val="0000FF"/>
          <w:sz w:val="32"/>
          <w:szCs w:val="32"/>
        </w:rPr>
        <w:t>（以饼图列示）</w:t>
      </w:r>
    </w:p>
    <w:p>
      <w:pPr>
        <w:keepNext w:val="0"/>
        <w:keepLines w:val="0"/>
        <w:widowControl/>
        <w:suppressLineNumbers w:val="0"/>
        <w:spacing w:before="0" w:beforeAutospacing="1" w:after="0" w:afterAutospacing="1" w:line="600" w:lineRule="atLeast"/>
        <w:ind w:left="0" w:right="0" w:firstLine="643"/>
        <w:jc w:val="both"/>
      </w:pPr>
      <w:r>
        <w:rPr>
          <w:rFonts w:hint="eastAsia" w:ascii="黑体" w:hAnsi="宋体" w:eastAsia="黑体" w:cs="黑体"/>
          <w:b/>
          <w:bCs/>
          <w:sz w:val="32"/>
          <w:szCs w:val="32"/>
        </w:rPr>
        <w:t>三、支出决算情况说明</w:t>
      </w:r>
    </w:p>
    <w:p>
      <w:pPr>
        <w:keepNext w:val="0"/>
        <w:keepLines w:val="0"/>
        <w:widowControl/>
        <w:suppressLineNumbers w:val="0"/>
        <w:spacing w:before="0" w:beforeAutospacing="1" w:after="0" w:afterAutospacing="1" w:line="560" w:lineRule="atLeast"/>
        <w:ind w:left="0" w:right="0" w:firstLine="640"/>
        <w:jc w:val="both"/>
      </w:pPr>
      <w:r>
        <w:rPr>
          <w:sz w:val="32"/>
          <w:szCs w:val="32"/>
          <w:lang w:val="en-US"/>
        </w:rPr>
        <w:t>锡林郭勒盟安神医院单位2022</w:t>
      </w:r>
      <w:r>
        <w:rPr>
          <w:sz w:val="32"/>
          <w:szCs w:val="32"/>
        </w:rPr>
        <w:t>年度本年支出决算合计</w:t>
      </w:r>
      <w:r>
        <w:rPr>
          <w:rFonts w:hint="default" w:ascii="Times New Roman" w:hAnsi="Times New Roman" w:cs="Times New Roman"/>
          <w:sz w:val="32"/>
          <w:szCs w:val="32"/>
          <w:u w:val="single"/>
          <w:lang w:val="en-US"/>
        </w:rPr>
        <w:t>6,293.41</w:t>
      </w:r>
      <w:r>
        <w:rPr>
          <w:sz w:val="32"/>
          <w:szCs w:val="32"/>
        </w:rPr>
        <w:t>万元，其中：</w:t>
      </w:r>
    </w:p>
    <w:p>
      <w:pPr>
        <w:keepNext w:val="0"/>
        <w:keepLines w:val="0"/>
        <w:widowControl/>
        <w:suppressLineNumbers w:val="0"/>
        <w:spacing w:before="0" w:beforeAutospacing="1" w:after="0" w:afterAutospacing="1" w:line="560" w:lineRule="atLeast"/>
        <w:ind w:left="0" w:right="0" w:firstLine="640"/>
        <w:jc w:val="both"/>
      </w:pPr>
      <w:r>
        <w:rPr>
          <w:sz w:val="32"/>
          <w:szCs w:val="32"/>
        </w:rPr>
        <w:t>本年基本支出</w:t>
      </w:r>
      <w:r>
        <w:rPr>
          <w:rFonts w:hint="default" w:ascii="Times New Roman" w:hAnsi="Times New Roman" w:cs="Times New Roman"/>
          <w:sz w:val="32"/>
          <w:szCs w:val="32"/>
          <w:u w:val="single"/>
          <w:lang w:val="en-US"/>
        </w:rPr>
        <w:t>6,187.83</w:t>
      </w:r>
      <w:r>
        <w:rPr>
          <w:sz w:val="32"/>
          <w:szCs w:val="32"/>
        </w:rPr>
        <w:t>万元，占</w:t>
      </w:r>
      <w:r>
        <w:rPr>
          <w:rFonts w:hint="default" w:ascii="Times New Roman" w:hAnsi="Times New Roman" w:cs="Times New Roman"/>
          <w:sz w:val="32"/>
          <w:szCs w:val="32"/>
          <w:u w:val="single"/>
          <w:lang w:val="en-US"/>
        </w:rPr>
        <w:t>98.32</w:t>
      </w:r>
      <w:r>
        <w:rPr>
          <w:sz w:val="32"/>
          <w:szCs w:val="32"/>
          <w:lang w:val="en-US"/>
        </w:rPr>
        <w:t>%</w:t>
      </w:r>
      <w:r>
        <w:rPr>
          <w:sz w:val="32"/>
          <w:szCs w:val="32"/>
        </w:rPr>
        <w:t>；</w:t>
      </w:r>
    </w:p>
    <w:p>
      <w:pPr>
        <w:keepNext w:val="0"/>
        <w:keepLines w:val="0"/>
        <w:widowControl/>
        <w:suppressLineNumbers w:val="0"/>
        <w:spacing w:before="0" w:beforeAutospacing="1" w:after="0" w:afterAutospacing="1" w:line="560" w:lineRule="atLeast"/>
        <w:ind w:left="0" w:right="0" w:firstLine="640"/>
        <w:jc w:val="both"/>
      </w:pPr>
      <w:r>
        <w:rPr>
          <w:sz w:val="32"/>
          <w:szCs w:val="32"/>
        </w:rPr>
        <w:t>本年项目支出</w:t>
      </w:r>
      <w:r>
        <w:rPr>
          <w:rFonts w:hint="default" w:ascii="Times New Roman" w:hAnsi="Times New Roman" w:cs="Times New Roman"/>
          <w:sz w:val="32"/>
          <w:szCs w:val="32"/>
          <w:u w:val="single"/>
          <w:lang w:val="en-US"/>
        </w:rPr>
        <w:t>105.58</w:t>
      </w:r>
      <w:r>
        <w:rPr>
          <w:sz w:val="32"/>
          <w:szCs w:val="32"/>
        </w:rPr>
        <w:t>万元，占</w:t>
      </w:r>
      <w:r>
        <w:rPr>
          <w:rFonts w:hint="default" w:ascii="Times New Roman" w:hAnsi="Times New Roman" w:cs="Times New Roman"/>
          <w:sz w:val="32"/>
          <w:szCs w:val="32"/>
          <w:u w:val="single"/>
          <w:lang w:val="en-US"/>
        </w:rPr>
        <w:t>1.68</w:t>
      </w:r>
      <w:r>
        <w:rPr>
          <w:sz w:val="32"/>
          <w:szCs w:val="32"/>
          <w:lang w:val="en-US"/>
        </w:rPr>
        <w:t>%</w:t>
      </w:r>
      <w:r>
        <w:rPr>
          <w:sz w:val="32"/>
          <w:szCs w:val="32"/>
        </w:rPr>
        <w:t>；</w:t>
      </w:r>
    </w:p>
    <w:p>
      <w:pPr>
        <w:keepNext w:val="0"/>
        <w:keepLines w:val="0"/>
        <w:widowControl/>
        <w:suppressLineNumbers w:val="0"/>
        <w:spacing w:before="0" w:beforeAutospacing="1" w:after="0" w:afterAutospacing="1" w:line="560" w:lineRule="atLeast"/>
        <w:ind w:left="0" w:right="0" w:firstLine="640"/>
        <w:jc w:val="both"/>
      </w:pPr>
      <w:r>
        <w:rPr>
          <w:sz w:val="32"/>
          <w:szCs w:val="32"/>
        </w:rPr>
        <w:t>本年上缴上级支出</w:t>
      </w:r>
      <w:r>
        <w:rPr>
          <w:rFonts w:hint="default" w:ascii="Times New Roman" w:hAnsi="Times New Roman" w:cs="Times New Roman"/>
          <w:sz w:val="32"/>
          <w:szCs w:val="32"/>
          <w:u w:val="single"/>
          <w:lang w:val="en-US"/>
        </w:rPr>
        <w:t>0.00</w:t>
      </w:r>
      <w:r>
        <w:rPr>
          <w:sz w:val="32"/>
          <w:szCs w:val="32"/>
        </w:rPr>
        <w:t>万元，占</w:t>
      </w:r>
      <w:r>
        <w:rPr>
          <w:rFonts w:hint="default" w:ascii="Times New Roman" w:hAnsi="Times New Roman" w:cs="Times New Roman"/>
          <w:sz w:val="32"/>
          <w:szCs w:val="32"/>
          <w:u w:val="single"/>
          <w:lang w:val="en-US"/>
        </w:rPr>
        <w:t>0.00</w:t>
      </w:r>
      <w:r>
        <w:rPr>
          <w:sz w:val="32"/>
          <w:szCs w:val="32"/>
          <w:lang w:val="en-US"/>
        </w:rPr>
        <w:t>%</w:t>
      </w:r>
      <w:r>
        <w:rPr>
          <w:sz w:val="32"/>
          <w:szCs w:val="32"/>
        </w:rPr>
        <w:t>；</w:t>
      </w:r>
    </w:p>
    <w:p>
      <w:pPr>
        <w:keepNext w:val="0"/>
        <w:keepLines w:val="0"/>
        <w:widowControl/>
        <w:suppressLineNumbers w:val="0"/>
        <w:spacing w:before="0" w:beforeAutospacing="1" w:after="0" w:afterAutospacing="1" w:line="560" w:lineRule="atLeast"/>
        <w:ind w:left="0" w:right="0" w:firstLine="640"/>
        <w:jc w:val="both"/>
      </w:pPr>
      <w:r>
        <w:rPr>
          <w:sz w:val="32"/>
          <w:szCs w:val="32"/>
        </w:rPr>
        <w:t>本年经营支出</w:t>
      </w:r>
      <w:r>
        <w:rPr>
          <w:rFonts w:hint="default" w:ascii="Times New Roman" w:hAnsi="Times New Roman" w:cs="Times New Roman"/>
          <w:sz w:val="32"/>
          <w:szCs w:val="32"/>
          <w:u w:val="single"/>
          <w:lang w:val="en-US"/>
        </w:rPr>
        <w:t>0.00</w:t>
      </w:r>
      <w:r>
        <w:rPr>
          <w:sz w:val="32"/>
          <w:szCs w:val="32"/>
        </w:rPr>
        <w:t>万元，占</w:t>
      </w:r>
      <w:r>
        <w:rPr>
          <w:rFonts w:hint="default" w:ascii="Times New Roman" w:hAnsi="Times New Roman" w:cs="Times New Roman"/>
          <w:sz w:val="32"/>
          <w:szCs w:val="32"/>
          <w:u w:val="single"/>
          <w:lang w:val="en-US"/>
        </w:rPr>
        <w:t>0.00</w:t>
      </w:r>
      <w:r>
        <w:rPr>
          <w:sz w:val="32"/>
          <w:szCs w:val="32"/>
          <w:lang w:val="en-US"/>
        </w:rPr>
        <w:t>%</w:t>
      </w:r>
      <w:r>
        <w:rPr>
          <w:sz w:val="32"/>
          <w:szCs w:val="32"/>
        </w:rPr>
        <w:t>；</w:t>
      </w:r>
    </w:p>
    <w:p>
      <w:pPr>
        <w:keepNext w:val="0"/>
        <w:keepLines w:val="0"/>
        <w:widowControl/>
        <w:suppressLineNumbers w:val="0"/>
        <w:spacing w:before="0" w:beforeAutospacing="1" w:after="0" w:afterAutospacing="1" w:line="560" w:lineRule="atLeast"/>
        <w:ind w:left="0" w:right="0" w:firstLine="640"/>
        <w:jc w:val="both"/>
      </w:pPr>
      <w:r>
        <w:rPr>
          <w:sz w:val="32"/>
          <w:szCs w:val="32"/>
        </w:rPr>
        <w:t>本年对附属单位补助支出</w:t>
      </w:r>
      <w:r>
        <w:rPr>
          <w:rFonts w:hint="default" w:ascii="Times New Roman" w:hAnsi="Times New Roman" w:cs="Times New Roman"/>
          <w:sz w:val="32"/>
          <w:szCs w:val="32"/>
          <w:u w:val="single"/>
          <w:lang w:val="en-US"/>
        </w:rPr>
        <w:t>0.00</w:t>
      </w:r>
      <w:r>
        <w:rPr>
          <w:sz w:val="32"/>
          <w:szCs w:val="32"/>
        </w:rPr>
        <w:t>万元，占</w:t>
      </w:r>
      <w:r>
        <w:rPr>
          <w:rFonts w:hint="default" w:ascii="Times New Roman" w:hAnsi="Times New Roman" w:cs="Times New Roman"/>
          <w:sz w:val="32"/>
          <w:szCs w:val="32"/>
          <w:u w:val="single"/>
          <w:lang w:val="en-US"/>
        </w:rPr>
        <w:t>0.00</w:t>
      </w:r>
      <w:r>
        <w:rPr>
          <w:sz w:val="32"/>
          <w:szCs w:val="32"/>
          <w:lang w:val="en-US"/>
        </w:rPr>
        <w:t>%</w:t>
      </w:r>
      <w:r>
        <w:rPr>
          <w:sz w:val="32"/>
          <w:szCs w:val="32"/>
        </w:rPr>
        <w:t>。</w:t>
      </w:r>
    </w:p>
    <w:p>
      <w:pPr>
        <w:keepNext w:val="0"/>
        <w:keepLines w:val="0"/>
        <w:widowControl/>
        <w:suppressLineNumbers w:val="0"/>
        <w:spacing w:before="0" w:beforeAutospacing="1" w:after="0" w:afterAutospacing="1" w:line="560" w:lineRule="atLeast"/>
        <w:ind w:left="0" w:right="0"/>
        <w:jc w:val="center"/>
      </w:pPr>
      <w:r>
        <w:rPr>
          <w:rFonts w:hint="default" w:ascii="Times New Roman" w:hAnsi="Times New Roman" w:cs="Times New Roman"/>
          <w:sz w:val="32"/>
          <w:szCs w:val="32"/>
          <w:lang w:val="en-US"/>
        </w:rPr>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ascii="Times New Roman" w:hAnsi="Times New Roman" w:cs="Times New Roman"/>
          <w:sz w:val="32"/>
          <w:szCs w:val="32"/>
          <w:lang w:val="en-US"/>
        </w:rPr>
        <w:t> </w:t>
      </w:r>
    </w:p>
    <w:p>
      <w:pPr>
        <w:keepNext w:val="0"/>
        <w:keepLines w:val="0"/>
        <w:widowControl/>
        <w:suppressLineNumbers w:val="0"/>
        <w:spacing w:before="0" w:beforeAutospacing="1" w:after="0" w:afterAutospacing="1" w:line="560" w:lineRule="atLeast"/>
        <w:ind w:left="0" w:right="0"/>
        <w:jc w:val="center"/>
      </w:pPr>
      <w:r>
        <w:rPr>
          <w:sz w:val="32"/>
          <w:szCs w:val="32"/>
        </w:rPr>
        <w:t>图</w:t>
      </w:r>
      <w:r>
        <w:rPr>
          <w:rFonts w:hint="default" w:ascii="Times New Roman" w:hAnsi="Times New Roman" w:cs="Times New Roman"/>
          <w:sz w:val="32"/>
          <w:szCs w:val="32"/>
          <w:lang w:val="en-US"/>
        </w:rPr>
        <w:t>2.</w:t>
      </w:r>
      <w:r>
        <w:rPr>
          <w:sz w:val="32"/>
          <w:szCs w:val="32"/>
        </w:rPr>
        <w:t>支出决算图</w:t>
      </w:r>
      <w:r>
        <w:rPr>
          <w:color w:val="0000FF"/>
          <w:sz w:val="32"/>
          <w:szCs w:val="32"/>
        </w:rPr>
        <w:t>（以饼图列示）</w:t>
      </w:r>
    </w:p>
    <w:p>
      <w:pPr>
        <w:keepNext w:val="0"/>
        <w:keepLines w:val="0"/>
        <w:widowControl/>
        <w:suppressLineNumbers w:val="0"/>
        <w:spacing w:before="0" w:beforeAutospacing="1" w:after="0" w:afterAutospacing="1" w:line="560" w:lineRule="atLeast"/>
        <w:ind w:left="0" w:right="0"/>
        <w:jc w:val="center"/>
      </w:pPr>
      <w:r>
        <w:rPr>
          <w:rFonts w:hint="default" w:ascii="Times New Roman" w:hAnsi="Times New Roman" w:cs="Times New Roman"/>
          <w:sz w:val="32"/>
          <w:szCs w:val="32"/>
          <w:lang w:val="en-US"/>
        </w:rPr>
        <w:t> </w:t>
      </w:r>
    </w:p>
    <w:p>
      <w:pPr>
        <w:keepNext w:val="0"/>
        <w:keepLines w:val="0"/>
        <w:widowControl/>
        <w:suppressLineNumbers w:val="0"/>
        <w:spacing w:before="0" w:beforeAutospacing="1" w:after="0" w:afterAutospacing="1" w:line="600" w:lineRule="atLeast"/>
        <w:ind w:left="0" w:right="0" w:firstLine="643"/>
        <w:jc w:val="both"/>
      </w:pPr>
      <w:r>
        <w:rPr>
          <w:rFonts w:hint="eastAsia" w:ascii="黑体" w:hAnsi="宋体" w:eastAsia="黑体" w:cs="黑体"/>
          <w:b/>
          <w:bCs/>
          <w:sz w:val="32"/>
          <w:szCs w:val="32"/>
        </w:rPr>
        <w:t>四、财政拨款收入支出决算总体情况说明</w:t>
      </w:r>
    </w:p>
    <w:p>
      <w:pPr>
        <w:keepNext w:val="0"/>
        <w:keepLines w:val="0"/>
        <w:widowControl/>
        <w:suppressLineNumbers w:val="0"/>
        <w:spacing w:before="0" w:beforeAutospacing="1" w:after="0" w:afterAutospacing="1" w:line="560" w:lineRule="atLeast"/>
        <w:ind w:left="0" w:right="0" w:firstLine="640"/>
        <w:jc w:val="both"/>
      </w:pPr>
      <w:r>
        <w:rPr>
          <w:sz w:val="32"/>
          <w:szCs w:val="32"/>
          <w:lang w:val="en-US"/>
        </w:rPr>
        <w:t>锡林郭勒盟安神医院单位</w:t>
      </w:r>
      <w:r>
        <w:rPr>
          <w:rFonts w:hint="default" w:ascii="Times New Roman" w:hAnsi="Times New Roman" w:cs="Times New Roman"/>
          <w:sz w:val="32"/>
          <w:szCs w:val="32"/>
          <w:lang w:val="en-US"/>
        </w:rPr>
        <w:t xml:space="preserve"> </w:t>
      </w:r>
      <w:r>
        <w:rPr>
          <w:sz w:val="32"/>
          <w:szCs w:val="32"/>
          <w:lang w:val="en-US"/>
        </w:rPr>
        <w:t>2022</w:t>
      </w:r>
      <w:r>
        <w:rPr>
          <w:sz w:val="32"/>
          <w:szCs w:val="32"/>
        </w:rPr>
        <w:t>年度财政拨款收入、支出决算总计</w:t>
      </w:r>
      <w:r>
        <w:rPr>
          <w:rFonts w:hint="default" w:ascii="Times New Roman" w:hAnsi="Times New Roman" w:cs="Times New Roman"/>
          <w:sz w:val="32"/>
          <w:szCs w:val="32"/>
          <w:u w:val="single"/>
          <w:lang w:val="en-US"/>
        </w:rPr>
        <w:t>1,483.33</w:t>
      </w:r>
      <w:r>
        <w:rPr>
          <w:sz w:val="32"/>
          <w:szCs w:val="32"/>
        </w:rPr>
        <w:t>万元，与年初预算相比，收、支总计各增加</w:t>
      </w:r>
      <w:r>
        <w:rPr>
          <w:rFonts w:hint="default" w:ascii="Times New Roman" w:hAnsi="Times New Roman" w:cs="Times New Roman"/>
          <w:sz w:val="32"/>
          <w:szCs w:val="32"/>
          <w:u w:val="single"/>
          <w:lang w:val="en-US"/>
        </w:rPr>
        <w:t>250.49</w:t>
      </w:r>
      <w:r>
        <w:rPr>
          <w:sz w:val="32"/>
          <w:szCs w:val="32"/>
        </w:rPr>
        <w:t>万元，增长</w:t>
      </w:r>
      <w:r>
        <w:rPr>
          <w:rFonts w:hint="default" w:ascii="Times New Roman" w:hAnsi="Times New Roman" w:cs="Times New Roman"/>
          <w:sz w:val="32"/>
          <w:szCs w:val="32"/>
          <w:u w:val="single"/>
          <w:lang w:val="en-US"/>
        </w:rPr>
        <w:t>20.32</w:t>
      </w:r>
      <w:r>
        <w:rPr>
          <w:sz w:val="32"/>
          <w:szCs w:val="32"/>
          <w:lang w:val="en-US"/>
        </w:rPr>
        <w:t>%</w:t>
      </w:r>
      <w:r>
        <w:rPr>
          <w:sz w:val="32"/>
          <w:szCs w:val="32"/>
        </w:rPr>
        <w:t>，变动原因：</w:t>
      </w:r>
      <w:r>
        <w:rPr>
          <w:rFonts w:hint="eastAsia"/>
          <w:sz w:val="32"/>
          <w:szCs w:val="32"/>
          <w:lang w:val="en-US" w:eastAsia="zh-CN"/>
        </w:rPr>
        <w:t>年初预算未包含事业单位离退休费、退休人员机关事业单位职业年金缴费支出、重大公共卫生服务支出资金、突发公共卫生事件应急处理资金；</w:t>
      </w:r>
      <w:r>
        <w:rPr>
          <w:sz w:val="32"/>
          <w:szCs w:val="32"/>
        </w:rPr>
        <w:t>与上年决算相比，收、支总计各减少</w:t>
      </w:r>
      <w:r>
        <w:rPr>
          <w:rFonts w:hint="default" w:ascii="Times New Roman" w:hAnsi="Times New Roman" w:cs="Times New Roman"/>
          <w:sz w:val="32"/>
          <w:szCs w:val="32"/>
          <w:u w:val="single"/>
          <w:lang w:val="en-US"/>
        </w:rPr>
        <w:t>1,757.19</w:t>
      </w:r>
      <w:r>
        <w:rPr>
          <w:sz w:val="32"/>
          <w:szCs w:val="32"/>
        </w:rPr>
        <w:t>万元，减少</w:t>
      </w:r>
      <w:r>
        <w:rPr>
          <w:rFonts w:ascii="Times New Roman" w:hAnsi="Times New Roman" w:cs="Times New Roman"/>
          <w:sz w:val="30"/>
          <w:szCs w:val="30"/>
          <w:u w:val="single"/>
        </w:rPr>
        <w:t>54.23</w:t>
      </w:r>
      <w:r>
        <w:rPr>
          <w:sz w:val="32"/>
          <w:szCs w:val="32"/>
          <w:lang w:val="en-US"/>
        </w:rPr>
        <w:t>%</w:t>
      </w:r>
      <w:r>
        <w:rPr>
          <w:sz w:val="32"/>
          <w:szCs w:val="32"/>
        </w:rPr>
        <w:t>，变动原因：</w:t>
      </w:r>
      <w:r>
        <w:rPr>
          <w:rFonts w:hint="eastAsia"/>
          <w:sz w:val="32"/>
          <w:szCs w:val="32"/>
          <w:lang w:val="en-US" w:eastAsia="zh-CN"/>
        </w:rPr>
        <w:t>上年度包含专项债券资金支出，本年度无此项支出</w:t>
      </w:r>
      <w:r>
        <w:rPr>
          <w:sz w:val="32"/>
          <w:szCs w:val="32"/>
        </w:rPr>
        <w:t>。</w:t>
      </w:r>
    </w:p>
    <w:p>
      <w:pPr>
        <w:keepNext w:val="0"/>
        <w:keepLines w:val="0"/>
        <w:widowControl/>
        <w:suppressLineNumbers w:val="0"/>
        <w:spacing w:before="0" w:beforeAutospacing="1" w:after="0" w:afterAutospacing="1" w:line="600" w:lineRule="atLeast"/>
        <w:ind w:left="0" w:right="0" w:firstLine="643"/>
        <w:jc w:val="both"/>
      </w:pPr>
      <w:r>
        <w:rPr>
          <w:rFonts w:hint="eastAsia" w:ascii="黑体" w:hAnsi="宋体" w:eastAsia="黑体" w:cs="黑体"/>
          <w:b/>
          <w:bCs/>
          <w:sz w:val="32"/>
          <w:szCs w:val="32"/>
        </w:rPr>
        <w:t>五、一般公共预算支出决算情况说明</w:t>
      </w:r>
    </w:p>
    <w:p>
      <w:pPr>
        <w:keepNext w:val="0"/>
        <w:keepLines w:val="0"/>
        <w:widowControl/>
        <w:suppressLineNumbers w:val="0"/>
        <w:spacing w:before="0" w:beforeAutospacing="1" w:after="0" w:afterAutospacing="1" w:line="560" w:lineRule="atLeast"/>
        <w:ind w:left="0" w:right="0" w:firstLine="640"/>
        <w:jc w:val="both"/>
      </w:pPr>
      <w:r>
        <w:rPr>
          <w:sz w:val="32"/>
          <w:szCs w:val="32"/>
          <w:lang w:val="en-US"/>
        </w:rPr>
        <w:t>锡林郭勒盟安神医院单位2022</w:t>
      </w:r>
      <w:r>
        <w:rPr>
          <w:sz w:val="32"/>
          <w:szCs w:val="32"/>
        </w:rPr>
        <w:t>年度一般公共预算财政拨款支出决算</w:t>
      </w:r>
      <w:r>
        <w:rPr>
          <w:rFonts w:hint="default" w:ascii="Times New Roman" w:hAnsi="Times New Roman" w:cs="Times New Roman"/>
          <w:sz w:val="32"/>
          <w:szCs w:val="32"/>
          <w:u w:val="single"/>
          <w:lang w:val="en-US"/>
        </w:rPr>
        <w:t>1,466.52</w:t>
      </w:r>
      <w:r>
        <w:rPr>
          <w:sz w:val="32"/>
          <w:szCs w:val="32"/>
        </w:rPr>
        <w:t>万元。与年初预算</w:t>
      </w:r>
      <w:r>
        <w:rPr>
          <w:rFonts w:hint="default" w:ascii="Times New Roman" w:hAnsi="Times New Roman" w:cs="Times New Roman"/>
          <w:sz w:val="32"/>
          <w:szCs w:val="32"/>
          <w:u w:val="single"/>
          <w:lang w:val="en-US"/>
        </w:rPr>
        <w:t>1,231.23</w:t>
      </w:r>
      <w:r>
        <w:rPr>
          <w:sz w:val="32"/>
          <w:szCs w:val="32"/>
        </w:rPr>
        <w:t>万元相比，完成年初预算的</w:t>
      </w:r>
      <w:r>
        <w:rPr>
          <w:rFonts w:hint="default" w:ascii="Times New Roman" w:hAnsi="Times New Roman" w:cs="Times New Roman"/>
          <w:sz w:val="32"/>
          <w:szCs w:val="32"/>
          <w:u w:val="single"/>
          <w:lang w:val="en-US"/>
        </w:rPr>
        <w:t>119.11</w:t>
      </w:r>
      <w:r>
        <w:rPr>
          <w:sz w:val="32"/>
          <w:szCs w:val="32"/>
          <w:lang w:val="en-US"/>
        </w:rPr>
        <w:t>%</w:t>
      </w:r>
      <w:r>
        <w:rPr>
          <w:sz w:val="32"/>
          <w:szCs w:val="32"/>
        </w:rPr>
        <w:t>。其中：</w:t>
      </w:r>
    </w:p>
    <w:p>
      <w:pPr>
        <w:keepNext w:val="0"/>
        <w:keepLines w:val="0"/>
        <w:widowControl/>
        <w:suppressLineNumbers w:val="0"/>
        <w:spacing w:before="0" w:beforeAutospacing="1" w:after="0" w:afterAutospacing="1" w:line="560" w:lineRule="atLeast"/>
        <w:ind w:left="0" w:right="0" w:firstLine="643"/>
        <w:jc w:val="both"/>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rPr>
        <w:t>）社会保障和就业支出（类）</w:t>
      </w:r>
    </w:p>
    <w:p>
      <w:pPr>
        <w:keepNext w:val="0"/>
        <w:keepLines w:val="0"/>
        <w:widowControl/>
        <w:suppressLineNumbers w:val="0"/>
        <w:spacing w:before="0" w:beforeAutospacing="1" w:after="0" w:afterAutospacing="1" w:line="560" w:lineRule="atLeast"/>
        <w:ind w:left="0" w:right="0" w:firstLine="640"/>
        <w:jc w:val="both"/>
      </w:pPr>
      <w:r>
        <w:rPr>
          <w:sz w:val="32"/>
          <w:szCs w:val="32"/>
        </w:rPr>
        <w:t>社会保障和就业支出类决算数为</w:t>
      </w:r>
      <w:r>
        <w:rPr>
          <w:rFonts w:hint="default" w:ascii="Times New Roman" w:hAnsi="Times New Roman" w:cs="Times New Roman"/>
          <w:sz w:val="32"/>
          <w:szCs w:val="32"/>
          <w:u w:val="single"/>
          <w:lang w:val="en-US"/>
        </w:rPr>
        <w:t>93.31</w:t>
      </w:r>
      <w:r>
        <w:rPr>
          <w:sz w:val="32"/>
          <w:szCs w:val="32"/>
        </w:rPr>
        <w:t>万元，与年初预算相比增加（减少）</w:t>
      </w:r>
      <w:r>
        <w:rPr>
          <w:rFonts w:hint="default" w:ascii="Times New Roman" w:hAnsi="Times New Roman" w:cs="Times New Roman"/>
          <w:sz w:val="32"/>
          <w:szCs w:val="32"/>
          <w:u w:val="single"/>
          <w:lang w:val="en-US"/>
        </w:rPr>
        <w:t>51.37</w:t>
      </w:r>
      <w:r>
        <w:rPr>
          <w:sz w:val="32"/>
          <w:szCs w:val="32"/>
        </w:rPr>
        <w:t>万元。其中：</w:t>
      </w:r>
    </w:p>
    <w:p>
      <w:pPr>
        <w:keepNext w:val="0"/>
        <w:keepLines w:val="0"/>
        <w:widowControl/>
        <w:suppressLineNumbers w:val="0"/>
        <w:spacing w:before="0" w:beforeAutospacing="1" w:after="0" w:afterAutospacing="1" w:line="560" w:lineRule="atLeast"/>
        <w:ind w:left="0" w:right="0" w:firstLine="640"/>
        <w:jc w:val="both"/>
      </w:pPr>
      <w:r>
        <w:rPr>
          <w:rFonts w:hint="eastAsia"/>
          <w:sz w:val="32"/>
          <w:szCs w:val="32"/>
          <w:lang w:val="en-US" w:eastAsia="zh-CN"/>
        </w:rPr>
        <w:t>1.</w:t>
      </w:r>
      <w:r>
        <w:rPr>
          <w:sz w:val="32"/>
          <w:szCs w:val="32"/>
        </w:rPr>
        <w:t>行政事业单位养老支出（款）事业单位离退休（项）。年初预算</w:t>
      </w:r>
      <w:r>
        <w:rPr>
          <w:rFonts w:hint="default" w:ascii="Times New Roman" w:hAnsi="Times New Roman" w:cs="Times New Roman"/>
          <w:sz w:val="32"/>
          <w:szCs w:val="32"/>
          <w:u w:val="single"/>
          <w:lang w:val="en-US"/>
        </w:rPr>
        <w:t>  </w:t>
      </w:r>
      <w:r>
        <w:rPr>
          <w:rFonts w:hint="eastAsia" w:ascii="Times New Roman" w:hAnsi="Times New Roman" w:cs="Times New Roman"/>
          <w:sz w:val="32"/>
          <w:szCs w:val="32"/>
          <w:u w:val="single"/>
          <w:lang w:val="en-US" w:eastAsia="zh-CN"/>
        </w:rPr>
        <w:t>0.00</w:t>
      </w:r>
      <w:r>
        <w:rPr>
          <w:rFonts w:hint="default" w:ascii="Times New Roman" w:hAnsi="Times New Roman" w:cs="Times New Roman"/>
          <w:sz w:val="32"/>
          <w:szCs w:val="32"/>
          <w:u w:val="single"/>
          <w:lang w:val="en-US"/>
        </w:rPr>
        <w:t xml:space="preserve"> </w:t>
      </w:r>
      <w:r>
        <w:rPr>
          <w:sz w:val="32"/>
          <w:szCs w:val="32"/>
        </w:rPr>
        <w:t>万元，支出决算</w:t>
      </w:r>
      <w:r>
        <w:rPr>
          <w:rFonts w:hint="default" w:ascii="Times New Roman" w:hAnsi="Times New Roman" w:cs="Times New Roman"/>
          <w:sz w:val="30"/>
          <w:szCs w:val="30"/>
          <w:u w:val="single"/>
        </w:rPr>
        <w:t>34.32</w:t>
      </w:r>
      <w:r>
        <w:rPr>
          <w:sz w:val="32"/>
          <w:szCs w:val="32"/>
        </w:rPr>
        <w:t>万元，完成年初预算的</w:t>
      </w:r>
      <w:r>
        <w:rPr>
          <w:rFonts w:hint="default" w:ascii="Times New Roman" w:hAnsi="Times New Roman" w:cs="Times New Roman"/>
          <w:sz w:val="32"/>
          <w:szCs w:val="32"/>
          <w:u w:val="single"/>
          <w:lang w:val="en-US"/>
        </w:rPr>
        <w:t>  </w:t>
      </w:r>
      <w:r>
        <w:rPr>
          <w:rFonts w:hint="eastAsia" w:ascii="Times New Roman" w:hAnsi="Times New Roman" w:cs="Times New Roman"/>
          <w:sz w:val="32"/>
          <w:szCs w:val="32"/>
          <w:u w:val="single"/>
          <w:lang w:val="en-US" w:eastAsia="zh-CN"/>
        </w:rPr>
        <w:t>0</w:t>
      </w:r>
      <w:r>
        <w:rPr>
          <w:rFonts w:hint="default" w:ascii="Times New Roman" w:hAnsi="Times New Roman" w:cs="Times New Roman"/>
          <w:sz w:val="32"/>
          <w:szCs w:val="32"/>
          <w:u w:val="single"/>
          <w:lang w:val="en-US"/>
        </w:rPr>
        <w:t xml:space="preserve"> </w:t>
      </w:r>
      <w:r>
        <w:rPr>
          <w:sz w:val="32"/>
          <w:szCs w:val="32"/>
          <w:lang w:val="en-US"/>
        </w:rPr>
        <w:t>%</w:t>
      </w:r>
      <w:r>
        <w:rPr>
          <w:sz w:val="32"/>
          <w:szCs w:val="32"/>
        </w:rPr>
        <w:t>。决算数与年初预算数的差异原因：</w:t>
      </w:r>
      <w:r>
        <w:rPr>
          <w:rFonts w:hint="eastAsia"/>
          <w:sz w:val="32"/>
          <w:szCs w:val="32"/>
          <w:lang w:val="en-US" w:eastAsia="zh-CN"/>
        </w:rPr>
        <w:t>2022年新增事业单位退休基础绩效奖金年初未做预算</w:t>
      </w:r>
      <w:r>
        <w:rPr>
          <w:sz w:val="32"/>
          <w:szCs w:val="32"/>
        </w:rPr>
        <w:t>。</w:t>
      </w:r>
    </w:p>
    <w:p>
      <w:pPr>
        <w:keepNext w:val="0"/>
        <w:keepLines w:val="0"/>
        <w:widowControl/>
        <w:suppressLineNumbers w:val="0"/>
        <w:spacing w:before="0" w:beforeAutospacing="1" w:after="0" w:afterAutospacing="1" w:line="560" w:lineRule="atLeast"/>
        <w:ind w:left="0" w:right="0" w:firstLine="640"/>
        <w:jc w:val="both"/>
      </w:pPr>
      <w:r>
        <w:rPr>
          <w:rFonts w:hint="eastAsia" w:ascii="Times New Roman" w:hAnsi="Times New Roman" w:cs="Times New Roman"/>
          <w:sz w:val="32"/>
          <w:szCs w:val="32"/>
          <w:lang w:val="en-US" w:eastAsia="zh-CN"/>
        </w:rPr>
        <w:t>2.</w:t>
      </w:r>
      <w:r>
        <w:rPr>
          <w:sz w:val="32"/>
          <w:szCs w:val="32"/>
        </w:rPr>
        <w:t>行政事业单位养老支出（款）机关事业单位基本养老保险缴费支出（项）。年初预算</w:t>
      </w:r>
      <w:r>
        <w:rPr>
          <w:rFonts w:hint="default" w:ascii="Times New Roman" w:hAnsi="Times New Roman" w:cs="Times New Roman"/>
          <w:sz w:val="30"/>
          <w:szCs w:val="30"/>
          <w:u w:val="single"/>
        </w:rPr>
        <w:t>41.94</w:t>
      </w:r>
      <w:r>
        <w:rPr>
          <w:rFonts w:hint="default" w:ascii="Times New Roman" w:hAnsi="Times New Roman" w:cs="Times New Roman"/>
          <w:sz w:val="30"/>
          <w:szCs w:val="30"/>
          <w:u w:val="single"/>
          <w:lang w:val="en-US"/>
        </w:rPr>
        <w:t xml:space="preserve"> </w:t>
      </w:r>
      <w:r>
        <w:rPr>
          <w:sz w:val="32"/>
          <w:szCs w:val="32"/>
        </w:rPr>
        <w:t>万元，支出决算</w:t>
      </w:r>
      <w:r>
        <w:rPr>
          <w:rFonts w:hint="default" w:ascii="Times New Roman" w:hAnsi="Times New Roman" w:cs="Times New Roman"/>
          <w:sz w:val="30"/>
          <w:szCs w:val="30"/>
          <w:u w:val="single"/>
        </w:rPr>
        <w:t>44.22</w:t>
      </w:r>
      <w:r>
        <w:rPr>
          <w:sz w:val="32"/>
          <w:szCs w:val="32"/>
        </w:rPr>
        <w:t>万元，完成年初预算的</w:t>
      </w:r>
      <w:r>
        <w:rPr>
          <w:rFonts w:hint="default" w:ascii="Times New Roman" w:hAnsi="Times New Roman" w:cs="Times New Roman"/>
          <w:sz w:val="32"/>
          <w:szCs w:val="32"/>
          <w:u w:val="single"/>
          <w:lang w:val="en-US"/>
        </w:rPr>
        <w:t>  </w:t>
      </w:r>
      <w:r>
        <w:rPr>
          <w:rFonts w:hint="eastAsia" w:ascii="Times New Roman" w:hAnsi="Times New Roman" w:cs="Times New Roman"/>
          <w:sz w:val="32"/>
          <w:szCs w:val="32"/>
          <w:u w:val="single"/>
          <w:lang w:val="en-US" w:eastAsia="zh-CN"/>
        </w:rPr>
        <w:t>105.44</w:t>
      </w:r>
      <w:r>
        <w:rPr>
          <w:rFonts w:hint="default" w:ascii="Times New Roman" w:hAnsi="Times New Roman" w:cs="Times New Roman"/>
          <w:sz w:val="32"/>
          <w:szCs w:val="32"/>
          <w:u w:val="single"/>
          <w:lang w:val="en-US"/>
        </w:rPr>
        <w:t xml:space="preserve"> </w:t>
      </w:r>
      <w:r>
        <w:rPr>
          <w:sz w:val="32"/>
          <w:szCs w:val="32"/>
          <w:lang w:val="en-US"/>
        </w:rPr>
        <w:t>%</w:t>
      </w:r>
      <w:r>
        <w:rPr>
          <w:sz w:val="32"/>
          <w:szCs w:val="32"/>
        </w:rPr>
        <w:t>。决算数与年初预算数的差异原因：</w:t>
      </w:r>
      <w:r>
        <w:rPr>
          <w:rFonts w:hint="eastAsia"/>
          <w:sz w:val="32"/>
          <w:szCs w:val="32"/>
          <w:lang w:val="en-US" w:eastAsia="zh-CN"/>
        </w:rPr>
        <w:t>养老保险基数调整</w:t>
      </w:r>
      <w:r>
        <w:rPr>
          <w:sz w:val="32"/>
          <w:szCs w:val="32"/>
        </w:rPr>
        <w:t>。</w:t>
      </w:r>
    </w:p>
    <w:p>
      <w:pPr>
        <w:keepNext w:val="0"/>
        <w:keepLines w:val="0"/>
        <w:widowControl/>
        <w:suppressLineNumbers w:val="0"/>
        <w:spacing w:before="0" w:beforeAutospacing="1" w:after="0" w:afterAutospacing="1" w:line="560" w:lineRule="atLeast"/>
        <w:ind w:left="0" w:right="0" w:firstLine="640"/>
        <w:jc w:val="both"/>
      </w:pPr>
      <w:r>
        <w:rPr>
          <w:rFonts w:hint="eastAsia" w:ascii="Times New Roman" w:hAnsi="Times New Roman" w:cs="Times New Roman"/>
          <w:sz w:val="32"/>
          <w:szCs w:val="32"/>
          <w:lang w:val="en-US" w:eastAsia="zh-CN"/>
        </w:rPr>
        <w:t>3.</w:t>
      </w:r>
      <w:r>
        <w:rPr>
          <w:sz w:val="32"/>
          <w:szCs w:val="32"/>
        </w:rPr>
        <w:t>行政事业单位养老支出（款）机关事业单位职业年金缴费支出（项）。年初预算</w:t>
      </w:r>
      <w:r>
        <w:rPr>
          <w:rFonts w:hint="default" w:ascii="Times New Roman" w:hAnsi="Times New Roman" w:cs="Times New Roman"/>
          <w:sz w:val="32"/>
          <w:szCs w:val="32"/>
          <w:u w:val="single"/>
          <w:lang w:val="en-US"/>
        </w:rPr>
        <w:t>   </w:t>
      </w:r>
      <w:r>
        <w:rPr>
          <w:rFonts w:hint="eastAsia" w:ascii="Times New Roman" w:hAnsi="Times New Roman" w:cs="Times New Roman"/>
          <w:sz w:val="32"/>
          <w:szCs w:val="32"/>
          <w:u w:val="single"/>
          <w:lang w:val="en-US" w:eastAsia="zh-CN"/>
        </w:rPr>
        <w:t>0</w:t>
      </w:r>
      <w:r>
        <w:rPr>
          <w:rFonts w:hint="default" w:ascii="Times New Roman" w:hAnsi="Times New Roman" w:cs="Times New Roman"/>
          <w:sz w:val="32"/>
          <w:szCs w:val="32"/>
          <w:u w:val="single"/>
          <w:lang w:val="en-US"/>
        </w:rPr>
        <w:t xml:space="preserve"> </w:t>
      </w:r>
      <w:r>
        <w:rPr>
          <w:sz w:val="32"/>
          <w:szCs w:val="32"/>
        </w:rPr>
        <w:t>万元，支出决算</w:t>
      </w:r>
      <w:r>
        <w:rPr>
          <w:rFonts w:hint="default" w:ascii="Times New Roman" w:hAnsi="Times New Roman" w:cs="Times New Roman"/>
          <w:sz w:val="30"/>
          <w:szCs w:val="30"/>
          <w:u w:val="single"/>
        </w:rPr>
        <w:t>14.78</w:t>
      </w:r>
      <w:r>
        <w:rPr>
          <w:sz w:val="32"/>
          <w:szCs w:val="32"/>
        </w:rPr>
        <w:t>万元，完成年初预算的</w:t>
      </w:r>
      <w:r>
        <w:rPr>
          <w:rFonts w:hint="default" w:ascii="Times New Roman" w:hAnsi="Times New Roman" w:cs="Times New Roman"/>
          <w:sz w:val="32"/>
          <w:szCs w:val="32"/>
          <w:u w:val="single"/>
          <w:lang w:val="en-US"/>
        </w:rPr>
        <w:t>  </w:t>
      </w:r>
      <w:r>
        <w:rPr>
          <w:rFonts w:hint="eastAsia" w:ascii="Times New Roman" w:hAnsi="Times New Roman" w:cs="Times New Roman"/>
          <w:sz w:val="32"/>
          <w:szCs w:val="32"/>
          <w:u w:val="single"/>
          <w:lang w:val="en-US" w:eastAsia="zh-CN"/>
        </w:rPr>
        <w:t>0</w:t>
      </w:r>
      <w:r>
        <w:rPr>
          <w:rFonts w:hint="default" w:ascii="Times New Roman" w:hAnsi="Times New Roman" w:cs="Times New Roman"/>
          <w:sz w:val="32"/>
          <w:szCs w:val="32"/>
          <w:u w:val="single"/>
          <w:lang w:val="en-US"/>
        </w:rPr>
        <w:t xml:space="preserve"> </w:t>
      </w:r>
      <w:r>
        <w:rPr>
          <w:sz w:val="32"/>
          <w:szCs w:val="32"/>
          <w:lang w:val="en-US"/>
        </w:rPr>
        <w:t>%</w:t>
      </w:r>
      <w:r>
        <w:rPr>
          <w:sz w:val="32"/>
          <w:szCs w:val="32"/>
        </w:rPr>
        <w:t>。决算数与年初预算数的差异原因：</w:t>
      </w:r>
      <w:r>
        <w:rPr>
          <w:rFonts w:hint="eastAsia"/>
          <w:sz w:val="32"/>
          <w:szCs w:val="32"/>
          <w:lang w:val="en-US" w:eastAsia="zh-CN"/>
        </w:rPr>
        <w:t>2022年新增退休人员职业年金缴费年初未做预算</w:t>
      </w:r>
      <w:r>
        <w:rPr>
          <w:sz w:val="32"/>
          <w:szCs w:val="32"/>
        </w:rPr>
        <w:t>。</w:t>
      </w:r>
    </w:p>
    <w:p>
      <w:pPr>
        <w:keepNext w:val="0"/>
        <w:keepLines w:val="0"/>
        <w:widowControl/>
        <w:suppressLineNumbers w:val="0"/>
        <w:spacing w:before="0" w:beforeAutospacing="1" w:after="0" w:afterAutospacing="1" w:line="560" w:lineRule="atLeast"/>
        <w:ind w:left="0" w:right="0" w:firstLine="643"/>
        <w:jc w:val="both"/>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rPr>
        <w:t>）卫生健康支出（类）</w:t>
      </w:r>
    </w:p>
    <w:p>
      <w:pPr>
        <w:keepNext w:val="0"/>
        <w:keepLines w:val="0"/>
        <w:widowControl/>
        <w:suppressLineNumbers w:val="0"/>
        <w:spacing w:before="0" w:beforeAutospacing="1" w:after="0" w:afterAutospacing="1" w:line="560" w:lineRule="atLeast"/>
        <w:ind w:left="0" w:right="0" w:firstLine="640"/>
        <w:jc w:val="both"/>
        <w:rPr>
          <w:sz w:val="32"/>
          <w:szCs w:val="32"/>
        </w:rPr>
      </w:pPr>
      <w:r>
        <w:rPr>
          <w:sz w:val="32"/>
          <w:szCs w:val="32"/>
        </w:rPr>
        <w:t>卫生健康支出类决算数为</w:t>
      </w:r>
      <w:r>
        <w:rPr>
          <w:rFonts w:hint="default" w:ascii="Times New Roman" w:hAnsi="Times New Roman" w:cs="Times New Roman"/>
          <w:sz w:val="32"/>
          <w:szCs w:val="32"/>
          <w:u w:val="single"/>
          <w:lang w:val="en-US"/>
        </w:rPr>
        <w:t>1,332.82</w:t>
      </w:r>
      <w:r>
        <w:rPr>
          <w:sz w:val="32"/>
          <w:szCs w:val="32"/>
        </w:rPr>
        <w:t>万元，与年初预算相比增加</w:t>
      </w:r>
      <w:r>
        <w:rPr>
          <w:rFonts w:hint="default" w:ascii="Times New Roman" w:hAnsi="Times New Roman" w:cs="Times New Roman"/>
          <w:sz w:val="32"/>
          <w:szCs w:val="32"/>
          <w:u w:val="single"/>
          <w:lang w:val="en-US"/>
        </w:rPr>
        <w:t>183.03</w:t>
      </w:r>
      <w:r>
        <w:rPr>
          <w:sz w:val="32"/>
          <w:szCs w:val="32"/>
        </w:rPr>
        <w:t>万元。其中：</w:t>
      </w:r>
    </w:p>
    <w:p>
      <w:pPr>
        <w:keepNext w:val="0"/>
        <w:keepLines w:val="0"/>
        <w:widowControl/>
        <w:numPr>
          <w:ilvl w:val="0"/>
          <w:numId w:val="2"/>
        </w:numPr>
        <w:suppressLineNumbers w:val="0"/>
        <w:spacing w:before="0" w:beforeAutospacing="1" w:after="0" w:afterAutospacing="1" w:line="560" w:lineRule="atLeast"/>
        <w:ind w:left="0" w:leftChars="0" w:right="0" w:firstLine="640" w:firstLineChars="0"/>
        <w:jc w:val="both"/>
        <w:rPr>
          <w:rFonts w:hint="default"/>
          <w:sz w:val="32"/>
          <w:szCs w:val="32"/>
          <w:lang w:val="en-US" w:eastAsia="zh-CN"/>
        </w:rPr>
      </w:pPr>
      <w:r>
        <w:rPr>
          <w:rFonts w:hint="eastAsia"/>
          <w:sz w:val="32"/>
          <w:szCs w:val="32"/>
          <w:lang w:val="en-US" w:eastAsia="zh-CN"/>
        </w:rPr>
        <w:t>公立医院（款）精神病医院（项）。年初预算</w:t>
      </w:r>
      <w:r>
        <w:rPr>
          <w:rFonts w:hint="eastAsia"/>
          <w:sz w:val="32"/>
          <w:szCs w:val="32"/>
          <w:u w:val="single"/>
          <w:lang w:val="en-US" w:eastAsia="zh-CN"/>
        </w:rPr>
        <w:t>1109</w:t>
      </w:r>
      <w:r>
        <w:rPr>
          <w:rFonts w:hint="eastAsia"/>
          <w:sz w:val="32"/>
          <w:szCs w:val="32"/>
          <w:lang w:val="en-US" w:eastAsia="zh-CN"/>
        </w:rPr>
        <w:t>万元，支出决算</w:t>
      </w:r>
      <w:r>
        <w:rPr>
          <w:rFonts w:hint="eastAsia"/>
          <w:sz w:val="32"/>
          <w:szCs w:val="32"/>
          <w:u w:val="single"/>
          <w:lang w:val="en-US" w:eastAsia="zh-CN"/>
        </w:rPr>
        <w:t>1201.75</w:t>
      </w:r>
      <w:r>
        <w:rPr>
          <w:rFonts w:hint="eastAsia"/>
          <w:sz w:val="32"/>
          <w:szCs w:val="32"/>
          <w:lang w:val="en-US" w:eastAsia="zh-CN"/>
        </w:rPr>
        <w:t>万元，完成年初预算的108.36%。决算数与年初预算数的差异原因：主要原因为2022年基本工资、绩效工资调增，增加基础绩效奖励工资，并支付抚恤金</w:t>
      </w:r>
      <w:r>
        <w:rPr>
          <w:rFonts w:hint="default"/>
          <w:sz w:val="32"/>
          <w:szCs w:val="32"/>
          <w:lang w:val="en-US" w:eastAsia="zh-CN"/>
        </w:rPr>
        <w:t>。</w:t>
      </w:r>
    </w:p>
    <w:p>
      <w:pPr>
        <w:keepNext w:val="0"/>
        <w:keepLines w:val="0"/>
        <w:widowControl/>
        <w:numPr>
          <w:ilvl w:val="0"/>
          <w:numId w:val="2"/>
        </w:numPr>
        <w:suppressLineNumbers w:val="0"/>
        <w:spacing w:before="0" w:beforeAutospacing="1" w:after="0" w:afterAutospacing="1" w:line="560" w:lineRule="atLeast"/>
        <w:ind w:left="0" w:leftChars="0" w:right="0" w:firstLine="640" w:firstLineChars="0"/>
        <w:jc w:val="both"/>
        <w:rPr>
          <w:rFonts w:hint="default"/>
          <w:sz w:val="32"/>
          <w:szCs w:val="32"/>
          <w:lang w:val="en-US" w:eastAsia="zh-CN"/>
        </w:rPr>
      </w:pPr>
      <w:r>
        <w:rPr>
          <w:rFonts w:hint="eastAsia"/>
          <w:sz w:val="32"/>
          <w:szCs w:val="32"/>
          <w:lang w:val="en-US" w:eastAsia="zh-CN"/>
        </w:rPr>
        <w:t>公立医院（款）其他公立医院支出（项）。年初预算</w:t>
      </w:r>
      <w:r>
        <w:rPr>
          <w:rFonts w:hint="eastAsia"/>
          <w:sz w:val="32"/>
          <w:szCs w:val="32"/>
          <w:u w:val="single"/>
          <w:lang w:val="en-US" w:eastAsia="zh-CN"/>
        </w:rPr>
        <w:t>3.83</w:t>
      </w:r>
      <w:r>
        <w:rPr>
          <w:rFonts w:hint="eastAsia"/>
          <w:sz w:val="32"/>
          <w:szCs w:val="32"/>
          <w:lang w:val="en-US" w:eastAsia="zh-CN"/>
        </w:rPr>
        <w:t>万元，支出决算</w:t>
      </w:r>
      <w:r>
        <w:rPr>
          <w:rFonts w:hint="eastAsia"/>
          <w:sz w:val="32"/>
          <w:szCs w:val="32"/>
          <w:u w:val="single"/>
          <w:lang w:val="en-US" w:eastAsia="zh-CN"/>
        </w:rPr>
        <w:t>5.08</w:t>
      </w:r>
      <w:r>
        <w:rPr>
          <w:rFonts w:hint="eastAsia"/>
          <w:sz w:val="32"/>
          <w:szCs w:val="32"/>
          <w:lang w:val="en-US" w:eastAsia="zh-CN"/>
        </w:rPr>
        <w:t>万元，完成年初预算的</w:t>
      </w:r>
      <w:r>
        <w:rPr>
          <w:rFonts w:hint="eastAsia"/>
          <w:sz w:val="32"/>
          <w:szCs w:val="32"/>
          <w:u w:val="single"/>
          <w:lang w:val="en-US" w:eastAsia="zh-CN"/>
        </w:rPr>
        <w:t>132.64</w:t>
      </w:r>
      <w:r>
        <w:rPr>
          <w:rFonts w:hint="eastAsia"/>
          <w:sz w:val="32"/>
          <w:szCs w:val="32"/>
          <w:lang w:val="en-US" w:eastAsia="zh-CN"/>
        </w:rPr>
        <w:t>%。决算数与年初预算数的差异原因：年初预算为2021学年转岗培训经费，2022学年新开设转岗培训班支付培训费1.25万元</w:t>
      </w:r>
      <w:r>
        <w:rPr>
          <w:rFonts w:hint="default"/>
          <w:sz w:val="32"/>
          <w:szCs w:val="32"/>
          <w:lang w:val="en-US" w:eastAsia="zh-CN"/>
        </w:rPr>
        <w:t>。</w:t>
      </w:r>
    </w:p>
    <w:p>
      <w:pPr>
        <w:keepNext w:val="0"/>
        <w:keepLines w:val="0"/>
        <w:widowControl/>
        <w:numPr>
          <w:ilvl w:val="0"/>
          <w:numId w:val="2"/>
        </w:numPr>
        <w:suppressLineNumbers w:val="0"/>
        <w:spacing w:before="0" w:beforeAutospacing="1" w:after="0" w:afterAutospacing="1" w:line="560" w:lineRule="atLeast"/>
        <w:ind w:left="0" w:leftChars="0" w:right="0" w:firstLine="640" w:firstLineChars="0"/>
        <w:jc w:val="both"/>
        <w:rPr>
          <w:rFonts w:hint="default"/>
          <w:sz w:val="32"/>
          <w:szCs w:val="32"/>
          <w:lang w:val="en-US"/>
        </w:rPr>
      </w:pPr>
      <w:r>
        <w:rPr>
          <w:rFonts w:hint="eastAsia"/>
          <w:sz w:val="32"/>
          <w:szCs w:val="32"/>
          <w:lang w:val="en-US" w:eastAsia="zh-CN"/>
        </w:rPr>
        <w:t>公共卫生（款）重大公共卫生服务（项）。年初预算</w:t>
      </w:r>
      <w:r>
        <w:rPr>
          <w:rFonts w:hint="eastAsia"/>
          <w:sz w:val="32"/>
          <w:szCs w:val="32"/>
          <w:u w:val="single"/>
          <w:lang w:val="en-US" w:eastAsia="zh-CN"/>
        </w:rPr>
        <w:t>0</w:t>
      </w:r>
      <w:r>
        <w:rPr>
          <w:rFonts w:hint="eastAsia"/>
          <w:sz w:val="32"/>
          <w:szCs w:val="32"/>
          <w:lang w:val="en-US" w:eastAsia="zh-CN"/>
        </w:rPr>
        <w:t>万元，支出决算</w:t>
      </w:r>
      <w:r>
        <w:rPr>
          <w:rFonts w:hint="eastAsia"/>
          <w:sz w:val="32"/>
          <w:szCs w:val="32"/>
          <w:u w:val="single"/>
          <w:lang w:val="en-US" w:eastAsia="zh-CN"/>
        </w:rPr>
        <w:t>40</w:t>
      </w:r>
      <w:r>
        <w:rPr>
          <w:rFonts w:hint="eastAsia"/>
          <w:sz w:val="32"/>
          <w:szCs w:val="32"/>
          <w:lang w:val="en-US" w:eastAsia="zh-CN"/>
        </w:rPr>
        <w:t>万元，完成年初预算的</w:t>
      </w:r>
      <w:r>
        <w:rPr>
          <w:rFonts w:hint="eastAsia"/>
          <w:sz w:val="32"/>
          <w:szCs w:val="32"/>
          <w:u w:val="single"/>
          <w:lang w:val="en-US" w:eastAsia="zh-CN"/>
        </w:rPr>
        <w:t>0</w:t>
      </w:r>
      <w:r>
        <w:rPr>
          <w:rFonts w:hint="eastAsia"/>
          <w:sz w:val="32"/>
          <w:szCs w:val="32"/>
          <w:lang w:val="en-US" w:eastAsia="zh-CN"/>
        </w:rPr>
        <w:t>%。</w:t>
      </w:r>
      <w:r>
        <w:rPr>
          <w:sz w:val="32"/>
          <w:szCs w:val="32"/>
        </w:rPr>
        <w:t>决算数与年初预算数的差异原因：</w:t>
      </w:r>
      <w:r>
        <w:rPr>
          <w:rFonts w:hint="eastAsia"/>
          <w:sz w:val="32"/>
          <w:szCs w:val="32"/>
          <w:lang w:val="en-US" w:eastAsia="zh-CN"/>
        </w:rPr>
        <w:t>2022年提前下达资金，用于精神障碍患者免费赠药</w:t>
      </w:r>
      <w:r>
        <w:rPr>
          <w:rFonts w:hint="default"/>
          <w:sz w:val="32"/>
          <w:szCs w:val="32"/>
          <w:lang w:val="en-US"/>
        </w:rPr>
        <w:t>。</w:t>
      </w:r>
    </w:p>
    <w:p>
      <w:pPr>
        <w:keepNext w:val="0"/>
        <w:keepLines w:val="0"/>
        <w:widowControl/>
        <w:numPr>
          <w:ilvl w:val="0"/>
          <w:numId w:val="2"/>
        </w:numPr>
        <w:suppressLineNumbers w:val="0"/>
        <w:spacing w:before="0" w:beforeAutospacing="1" w:after="0" w:afterAutospacing="1" w:line="560" w:lineRule="atLeast"/>
        <w:ind w:left="0" w:leftChars="0" w:right="0" w:firstLine="640" w:firstLineChars="0"/>
        <w:jc w:val="both"/>
        <w:rPr>
          <w:rFonts w:hint="default" w:eastAsia="仿宋_GB2312"/>
          <w:lang w:val="en-US" w:eastAsia="zh-CN"/>
        </w:rPr>
      </w:pPr>
      <w:r>
        <w:rPr>
          <w:rFonts w:hint="eastAsia"/>
          <w:sz w:val="32"/>
          <w:szCs w:val="32"/>
          <w:lang w:val="en-US" w:eastAsia="zh-CN"/>
        </w:rPr>
        <w:t>公共卫生（款）突发公共卫生事件应急处理（项）。年初预算</w:t>
      </w:r>
      <w:r>
        <w:rPr>
          <w:rFonts w:hint="eastAsia"/>
          <w:sz w:val="32"/>
          <w:szCs w:val="32"/>
          <w:u w:val="single"/>
          <w:lang w:val="en-US" w:eastAsia="zh-CN"/>
        </w:rPr>
        <w:t>0</w:t>
      </w:r>
      <w:r>
        <w:rPr>
          <w:rFonts w:hint="eastAsia"/>
          <w:sz w:val="32"/>
          <w:szCs w:val="32"/>
          <w:lang w:val="en-US" w:eastAsia="zh-CN"/>
        </w:rPr>
        <w:t>万元，支出决算</w:t>
      </w:r>
      <w:r>
        <w:rPr>
          <w:rFonts w:hint="eastAsia"/>
          <w:sz w:val="32"/>
          <w:szCs w:val="32"/>
          <w:u w:val="single"/>
          <w:lang w:val="en-US" w:eastAsia="zh-CN"/>
        </w:rPr>
        <w:t>43.69</w:t>
      </w:r>
      <w:r>
        <w:rPr>
          <w:rFonts w:hint="eastAsia"/>
          <w:sz w:val="32"/>
          <w:szCs w:val="32"/>
          <w:lang w:val="en-US" w:eastAsia="zh-CN"/>
        </w:rPr>
        <w:t>万元，完成年初预算的</w:t>
      </w:r>
      <w:r>
        <w:rPr>
          <w:rFonts w:hint="eastAsia"/>
          <w:sz w:val="32"/>
          <w:szCs w:val="32"/>
          <w:u w:val="single"/>
          <w:lang w:val="en-US" w:eastAsia="zh-CN"/>
        </w:rPr>
        <w:t>0</w:t>
      </w:r>
      <w:r>
        <w:rPr>
          <w:rFonts w:hint="eastAsia"/>
          <w:sz w:val="32"/>
          <w:szCs w:val="32"/>
          <w:lang w:val="en-US" w:eastAsia="zh-CN"/>
        </w:rPr>
        <w:t>%。决算数与年初预算数的差异原因：2022年因疫情原因下达疫情防控资金</w:t>
      </w:r>
      <w:r>
        <w:rPr>
          <w:rFonts w:hint="default"/>
          <w:sz w:val="32"/>
          <w:szCs w:val="32"/>
          <w:lang w:val="en-US" w:eastAsia="zh-CN"/>
        </w:rPr>
        <w:t>。</w:t>
      </w:r>
    </w:p>
    <w:p>
      <w:pPr>
        <w:keepNext w:val="0"/>
        <w:keepLines w:val="0"/>
        <w:widowControl/>
        <w:numPr>
          <w:ilvl w:val="0"/>
          <w:numId w:val="2"/>
        </w:numPr>
        <w:suppressLineNumbers w:val="0"/>
        <w:spacing w:before="0" w:beforeAutospacing="1" w:after="0" w:afterAutospacing="1" w:line="560" w:lineRule="atLeast"/>
        <w:ind w:left="0" w:right="0" w:firstLine="640"/>
        <w:jc w:val="both"/>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行政事业单位医疗（款）事业单位医疗（项）。年初预算  </w:t>
      </w:r>
      <w:r>
        <w:rPr>
          <w:rFonts w:hint="default" w:ascii="Times New Roman" w:hAnsi="Times New Roman" w:cs="Times New Roman"/>
          <w:sz w:val="32"/>
          <w:szCs w:val="32"/>
          <w:u w:val="single"/>
          <w:lang w:val="en-US" w:eastAsia="zh-CN"/>
        </w:rPr>
        <w:t>31.89</w:t>
      </w:r>
      <w:r>
        <w:rPr>
          <w:rFonts w:hint="default" w:ascii="Times New Roman" w:hAnsi="Times New Roman" w:cs="Times New Roman"/>
          <w:sz w:val="32"/>
          <w:szCs w:val="32"/>
          <w:lang w:val="en-US" w:eastAsia="zh-CN"/>
        </w:rPr>
        <w:t>万元，支出决算</w:t>
      </w:r>
      <w:r>
        <w:rPr>
          <w:rFonts w:hint="default" w:ascii="Times New Roman" w:hAnsi="Times New Roman" w:cs="Times New Roman"/>
          <w:sz w:val="32"/>
          <w:szCs w:val="32"/>
          <w:u w:val="single"/>
          <w:lang w:val="en-US" w:eastAsia="zh-CN"/>
        </w:rPr>
        <w:t>36.70</w:t>
      </w:r>
      <w:r>
        <w:rPr>
          <w:rFonts w:hint="default" w:ascii="Times New Roman" w:hAnsi="Times New Roman" w:cs="Times New Roman"/>
          <w:sz w:val="32"/>
          <w:szCs w:val="32"/>
          <w:lang w:val="en-US" w:eastAsia="zh-CN"/>
        </w:rPr>
        <w:t>万元，完成年初预算的   </w:t>
      </w:r>
      <w:r>
        <w:rPr>
          <w:rFonts w:hint="eastAsia" w:ascii="Times New Roman" w:hAnsi="Times New Roman" w:cs="Times New Roman"/>
          <w:sz w:val="32"/>
          <w:szCs w:val="32"/>
          <w:u w:val="single"/>
          <w:lang w:val="en-US" w:eastAsia="zh-CN"/>
        </w:rPr>
        <w:t>115.08</w:t>
      </w:r>
      <w:r>
        <w:rPr>
          <w:rFonts w:hint="default" w:ascii="Times New Roman" w:hAnsi="Times New Roman" w:cs="Times New Roman"/>
          <w:sz w:val="32"/>
          <w:szCs w:val="32"/>
          <w:u w:val="single"/>
          <w:lang w:val="en-US" w:eastAsia="zh-CN"/>
        </w:rPr>
        <w:t xml:space="preserve"> %</w:t>
      </w:r>
      <w:r>
        <w:rPr>
          <w:rFonts w:hint="default" w:ascii="Times New Roman" w:hAnsi="Times New Roman" w:cs="Times New Roman"/>
          <w:sz w:val="32"/>
          <w:szCs w:val="32"/>
          <w:lang w:val="en-US" w:eastAsia="zh-CN"/>
        </w:rPr>
        <w:t>。决算数与年初预算数的差异原因</w:t>
      </w:r>
      <w:r>
        <w:rPr>
          <w:rFonts w:hint="eastAsia" w:ascii="Times New Roman" w:hAnsi="Times New Roman" w:cs="Times New Roman"/>
          <w:sz w:val="32"/>
          <w:szCs w:val="32"/>
          <w:lang w:val="en-US" w:eastAsia="zh-CN"/>
        </w:rPr>
        <w:t>：医疗保险基数调整</w:t>
      </w:r>
      <w:r>
        <w:rPr>
          <w:rFonts w:hint="default" w:ascii="Times New Roman" w:hAnsi="Times New Roman" w:cs="Times New Roman"/>
          <w:sz w:val="32"/>
          <w:szCs w:val="32"/>
          <w:lang w:val="en-US" w:eastAsia="zh-CN"/>
        </w:rPr>
        <w:t>。</w:t>
      </w:r>
    </w:p>
    <w:p>
      <w:pPr>
        <w:keepNext w:val="0"/>
        <w:keepLines w:val="0"/>
        <w:widowControl/>
        <w:numPr>
          <w:ilvl w:val="0"/>
          <w:numId w:val="2"/>
        </w:numPr>
        <w:suppressLineNumbers w:val="0"/>
        <w:spacing w:before="0" w:beforeAutospacing="1" w:after="0" w:afterAutospacing="1" w:line="560" w:lineRule="atLeast"/>
        <w:ind w:left="0" w:right="0" w:firstLine="640"/>
        <w:jc w:val="both"/>
        <w:rPr>
          <w:rFonts w:hint="eastAsia" w:ascii="Times New Roman" w:hAnsi="Times New Roman" w:cs="Times New Roman" w:eastAsiaTheme="minorEastAsia"/>
          <w:kern w:val="0"/>
          <w:sz w:val="32"/>
          <w:szCs w:val="32"/>
          <w:lang w:val="en-US" w:eastAsia="zh-CN" w:bidi="ar"/>
        </w:rPr>
      </w:pPr>
      <w:r>
        <w:rPr>
          <w:rFonts w:hint="default" w:ascii="Times New Roman" w:hAnsi="Times New Roman" w:cs="Times New Roman"/>
          <w:sz w:val="32"/>
          <w:szCs w:val="32"/>
          <w:lang w:val="en-US" w:eastAsia="zh-CN"/>
        </w:rPr>
        <w:t>行政事业单位医疗（款）公务员医疗补助（项）。年初预算 </w:t>
      </w:r>
      <w:r>
        <w:rPr>
          <w:rFonts w:hint="eastAsia" w:ascii="Times New Roman" w:hAnsi="Times New Roman" w:cs="Times New Roman"/>
          <w:b w:val="0"/>
          <w:bCs w:val="0"/>
          <w:sz w:val="32"/>
          <w:szCs w:val="32"/>
          <w:u w:val="single"/>
          <w:lang w:val="en-US" w:eastAsia="zh-CN"/>
        </w:rPr>
        <w:t>5.07</w:t>
      </w:r>
      <w:r>
        <w:rPr>
          <w:rFonts w:hint="default" w:ascii="Times New Roman" w:hAnsi="Times New Roman" w:cs="Times New Roman"/>
          <w:sz w:val="32"/>
          <w:szCs w:val="32"/>
          <w:lang w:val="en-US" w:eastAsia="zh-CN"/>
        </w:rPr>
        <w:t xml:space="preserve"> 万元，支出决算</w:t>
      </w:r>
      <w:r>
        <w:rPr>
          <w:rFonts w:hint="default" w:ascii="Times New Roman" w:hAnsi="Times New Roman" w:cs="Times New Roman"/>
          <w:sz w:val="32"/>
          <w:szCs w:val="32"/>
          <w:u w:val="single"/>
          <w:lang w:val="en-US" w:eastAsia="zh-CN"/>
        </w:rPr>
        <w:t>5.60</w:t>
      </w:r>
      <w:r>
        <w:rPr>
          <w:rFonts w:hint="default" w:ascii="Times New Roman" w:hAnsi="Times New Roman" w:cs="Times New Roman"/>
          <w:sz w:val="32"/>
          <w:szCs w:val="32"/>
          <w:lang w:val="en-US" w:eastAsia="zh-CN"/>
        </w:rPr>
        <w:t>万元，完成年初预算的  </w:t>
      </w:r>
      <w:r>
        <w:rPr>
          <w:rFonts w:hint="eastAsia" w:ascii="Times New Roman" w:hAnsi="Times New Roman" w:cs="Times New Roman"/>
          <w:sz w:val="32"/>
          <w:szCs w:val="32"/>
          <w:u w:val="single"/>
          <w:lang w:val="en-US" w:eastAsia="zh-CN"/>
        </w:rPr>
        <w:t>110.45</w:t>
      </w:r>
      <w:r>
        <w:rPr>
          <w:rFonts w:hint="default" w:ascii="Times New Roman" w:hAnsi="Times New Roman" w:cs="Times New Roman"/>
          <w:sz w:val="32"/>
          <w:szCs w:val="32"/>
          <w:u w:val="single"/>
          <w:lang w:val="en-US" w:eastAsia="zh-CN"/>
        </w:rPr>
        <w:t> </w:t>
      </w:r>
      <w:r>
        <w:rPr>
          <w:rFonts w:hint="default" w:ascii="Times New Roman" w:hAnsi="Times New Roman" w:cs="Times New Roman"/>
          <w:sz w:val="32"/>
          <w:szCs w:val="32"/>
          <w:lang w:val="en-US" w:eastAsia="zh-CN"/>
        </w:rPr>
        <w:t xml:space="preserve"> %。决算数与年初预算数的差异原因：</w:t>
      </w:r>
      <w:r>
        <w:rPr>
          <w:rFonts w:hint="eastAsia" w:ascii="Times New Roman" w:hAnsi="Times New Roman" w:cs="Times New Roman"/>
          <w:sz w:val="32"/>
          <w:szCs w:val="32"/>
          <w:lang w:val="en-US" w:eastAsia="zh-CN"/>
        </w:rPr>
        <w:t>医疗保险基数调整</w:t>
      </w:r>
      <w:r>
        <w:rPr>
          <w:rFonts w:hint="default" w:ascii="Times New Roman" w:hAnsi="Times New Roman" w:cs="Times New Roman"/>
          <w:sz w:val="32"/>
          <w:szCs w:val="32"/>
          <w:lang w:val="en-US" w:eastAsia="zh-CN"/>
        </w:rPr>
        <w:t>。</w:t>
      </w:r>
    </w:p>
    <w:p>
      <w:pPr>
        <w:keepNext w:val="0"/>
        <w:keepLines w:val="0"/>
        <w:widowControl/>
        <w:suppressLineNumbers w:val="0"/>
        <w:spacing w:before="0" w:beforeAutospacing="1" w:after="0" w:afterAutospacing="1" w:line="560" w:lineRule="atLeast"/>
        <w:ind w:left="0" w:right="0" w:firstLine="643"/>
        <w:jc w:val="both"/>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）住房保障支出（类）</w:t>
      </w:r>
    </w:p>
    <w:p>
      <w:pPr>
        <w:keepNext w:val="0"/>
        <w:keepLines w:val="0"/>
        <w:widowControl/>
        <w:suppressLineNumbers w:val="0"/>
        <w:spacing w:before="0" w:beforeAutospacing="1" w:after="0" w:afterAutospacing="1" w:line="560" w:lineRule="atLeast"/>
        <w:ind w:left="0" w:right="0" w:firstLine="640"/>
        <w:jc w:val="both"/>
      </w:pPr>
      <w:r>
        <w:rPr>
          <w:sz w:val="32"/>
          <w:szCs w:val="32"/>
        </w:rPr>
        <w:t>住房保障支出类决算数为</w:t>
      </w:r>
      <w:r>
        <w:rPr>
          <w:rFonts w:hint="default" w:ascii="Times New Roman" w:hAnsi="Times New Roman" w:cs="Times New Roman"/>
          <w:sz w:val="32"/>
          <w:szCs w:val="32"/>
          <w:u w:val="single"/>
          <w:lang w:val="en-US"/>
        </w:rPr>
        <w:t>40.39</w:t>
      </w:r>
      <w:r>
        <w:rPr>
          <w:sz w:val="32"/>
          <w:szCs w:val="32"/>
        </w:rPr>
        <w:t>万元，与年初预算相比增加</w:t>
      </w:r>
      <w:r>
        <w:rPr>
          <w:rFonts w:hint="default" w:ascii="Times New Roman" w:hAnsi="Times New Roman" w:cs="Times New Roman"/>
          <w:sz w:val="32"/>
          <w:szCs w:val="32"/>
          <w:u w:val="single"/>
          <w:lang w:val="en-US"/>
        </w:rPr>
        <w:t>0.89</w:t>
      </w:r>
      <w:r>
        <w:rPr>
          <w:sz w:val="32"/>
          <w:szCs w:val="32"/>
        </w:rPr>
        <w:t>万元。其中：</w:t>
      </w:r>
    </w:p>
    <w:p>
      <w:pPr>
        <w:keepNext w:val="0"/>
        <w:keepLines w:val="0"/>
        <w:widowControl/>
        <w:numPr>
          <w:ilvl w:val="0"/>
          <w:numId w:val="3"/>
        </w:numPr>
        <w:suppressLineNumbers w:val="0"/>
        <w:spacing w:before="0" w:beforeAutospacing="1" w:after="0" w:afterAutospacing="1" w:line="560" w:lineRule="atLeast"/>
        <w:ind w:left="0" w:right="0" w:firstLine="640"/>
        <w:jc w:val="both"/>
        <w:rPr>
          <w:sz w:val="32"/>
          <w:szCs w:val="32"/>
        </w:rPr>
      </w:pPr>
      <w:r>
        <w:rPr>
          <w:sz w:val="32"/>
          <w:szCs w:val="32"/>
        </w:rPr>
        <w:t>住房改革支出（款）住房公积金（项）。年初预算</w:t>
      </w:r>
      <w:r>
        <w:rPr>
          <w:rFonts w:hint="default" w:ascii="Times New Roman" w:hAnsi="Times New Roman" w:cs="Times New Roman"/>
          <w:sz w:val="32"/>
          <w:szCs w:val="32"/>
          <w:u w:val="single"/>
          <w:lang w:val="en-US"/>
        </w:rPr>
        <w:t> </w:t>
      </w:r>
      <w:r>
        <w:rPr>
          <w:rFonts w:hint="eastAsia" w:ascii="Times New Roman" w:hAnsi="Times New Roman" w:cs="Times New Roman"/>
          <w:sz w:val="30"/>
          <w:szCs w:val="30"/>
          <w:u w:val="single"/>
          <w:lang w:val="en-US" w:eastAsia="zh-CN"/>
        </w:rPr>
        <w:t>31.33</w:t>
      </w:r>
      <w:r>
        <w:rPr>
          <w:rFonts w:hint="default" w:ascii="Times New Roman" w:hAnsi="Times New Roman" w:cs="Times New Roman"/>
          <w:sz w:val="30"/>
          <w:szCs w:val="30"/>
          <w:u w:val="single"/>
          <w:lang w:val="en-US"/>
        </w:rPr>
        <w:t xml:space="preserve"> </w:t>
      </w:r>
      <w:r>
        <w:rPr>
          <w:sz w:val="32"/>
          <w:szCs w:val="32"/>
        </w:rPr>
        <w:t>万元，支出决算</w:t>
      </w:r>
      <w:r>
        <w:rPr>
          <w:rFonts w:hint="default" w:ascii="Times New Roman" w:hAnsi="Times New Roman" w:cs="Times New Roman"/>
          <w:sz w:val="30"/>
          <w:szCs w:val="30"/>
          <w:u w:val="single"/>
        </w:rPr>
        <w:t>32.96</w:t>
      </w:r>
      <w:r>
        <w:rPr>
          <w:sz w:val="32"/>
          <w:szCs w:val="32"/>
        </w:rPr>
        <w:t>万元，完成年初预算的</w:t>
      </w:r>
      <w:r>
        <w:rPr>
          <w:rFonts w:hint="default" w:ascii="Times New Roman" w:hAnsi="Times New Roman" w:cs="Times New Roman"/>
          <w:sz w:val="32"/>
          <w:szCs w:val="32"/>
          <w:u w:val="single"/>
          <w:lang w:val="en-US"/>
        </w:rPr>
        <w:t>  </w:t>
      </w:r>
      <w:r>
        <w:rPr>
          <w:rFonts w:hint="eastAsia" w:ascii="Times New Roman" w:hAnsi="Times New Roman" w:cs="Times New Roman"/>
          <w:sz w:val="32"/>
          <w:szCs w:val="32"/>
          <w:u w:val="single"/>
          <w:lang w:val="en-US" w:eastAsia="zh-CN"/>
        </w:rPr>
        <w:t>105.20</w:t>
      </w:r>
      <w:r>
        <w:rPr>
          <w:rFonts w:hint="default" w:ascii="Times New Roman" w:hAnsi="Times New Roman" w:cs="Times New Roman"/>
          <w:sz w:val="32"/>
          <w:szCs w:val="32"/>
          <w:u w:val="single"/>
          <w:lang w:val="en-US"/>
        </w:rPr>
        <w:t xml:space="preserve">  </w:t>
      </w:r>
      <w:r>
        <w:rPr>
          <w:sz w:val="32"/>
          <w:szCs w:val="32"/>
          <w:lang w:val="en-US"/>
        </w:rPr>
        <w:t>%</w:t>
      </w:r>
      <w:r>
        <w:rPr>
          <w:sz w:val="32"/>
          <w:szCs w:val="32"/>
        </w:rPr>
        <w:t>。决算数与年初预算数的差异原因：</w:t>
      </w:r>
      <w:r>
        <w:rPr>
          <w:rFonts w:hint="eastAsia"/>
          <w:sz w:val="32"/>
          <w:szCs w:val="32"/>
          <w:lang w:val="en-US" w:eastAsia="zh-CN"/>
        </w:rPr>
        <w:t>住房公积金缴纳基数调整</w:t>
      </w:r>
      <w:r>
        <w:rPr>
          <w:sz w:val="32"/>
          <w:szCs w:val="32"/>
        </w:rPr>
        <w:t>。</w:t>
      </w:r>
    </w:p>
    <w:p>
      <w:pPr>
        <w:pStyle w:val="2"/>
        <w:numPr>
          <w:ilvl w:val="0"/>
          <w:numId w:val="3"/>
        </w:numPr>
        <w:rPr>
          <w:rFonts w:asciiTheme="minorEastAsia" w:hAnsiTheme="minorEastAsia" w:eastAsiaTheme="minorEastAsia" w:cstheme="minorEastAsia"/>
          <w:color w:val="auto"/>
          <w:kern w:val="0"/>
          <w:sz w:val="32"/>
          <w:szCs w:val="32"/>
          <w:highlight w:val="none"/>
          <w:lang w:val="en-US" w:eastAsia="zh-CN" w:bidi="ar"/>
        </w:rPr>
      </w:pPr>
      <w:r>
        <w:rPr>
          <w:rFonts w:hint="eastAsia" w:asciiTheme="minorEastAsia" w:hAnsiTheme="minorEastAsia" w:eastAsiaTheme="minorEastAsia" w:cstheme="minorEastAsia"/>
          <w:color w:val="auto"/>
          <w:kern w:val="0"/>
          <w:sz w:val="32"/>
          <w:szCs w:val="32"/>
          <w:highlight w:val="none"/>
          <w:lang w:val="en-US" w:eastAsia="zh-CN" w:bidi="ar"/>
        </w:rPr>
        <w:t>住房改革支出（款）购房补贴（项）。年初预算</w:t>
      </w:r>
      <w:r>
        <w:rPr>
          <w:rFonts w:hint="eastAsia" w:asciiTheme="minorEastAsia" w:hAnsiTheme="minorEastAsia" w:eastAsiaTheme="minorEastAsia" w:cstheme="minorEastAsia"/>
          <w:color w:val="auto"/>
          <w:kern w:val="0"/>
          <w:sz w:val="32"/>
          <w:szCs w:val="32"/>
          <w:highlight w:val="none"/>
          <w:u w:val="single"/>
          <w:lang w:val="en-US" w:eastAsia="zh-CN" w:bidi="ar"/>
        </w:rPr>
        <w:t>8.17</w:t>
      </w:r>
      <w:r>
        <w:rPr>
          <w:rFonts w:hint="eastAsia" w:asciiTheme="minorEastAsia" w:hAnsiTheme="minorEastAsia" w:eastAsiaTheme="minorEastAsia" w:cstheme="minorEastAsia"/>
          <w:color w:val="auto"/>
          <w:kern w:val="0"/>
          <w:sz w:val="32"/>
          <w:szCs w:val="32"/>
          <w:highlight w:val="none"/>
          <w:u w:val="none"/>
          <w:lang w:val="en-US" w:eastAsia="zh-CN" w:bidi="ar"/>
        </w:rPr>
        <w:t>万元，支出决算</w:t>
      </w:r>
      <w:r>
        <w:rPr>
          <w:rFonts w:hint="eastAsia" w:asciiTheme="minorEastAsia" w:hAnsiTheme="minorEastAsia" w:eastAsiaTheme="minorEastAsia" w:cstheme="minorEastAsia"/>
          <w:color w:val="auto"/>
          <w:kern w:val="0"/>
          <w:sz w:val="32"/>
          <w:szCs w:val="32"/>
          <w:highlight w:val="none"/>
          <w:u w:val="single"/>
          <w:lang w:val="en-US" w:eastAsia="zh-CN" w:bidi="ar"/>
        </w:rPr>
        <w:t>7.43</w:t>
      </w:r>
      <w:r>
        <w:rPr>
          <w:rFonts w:hint="eastAsia" w:asciiTheme="minorEastAsia" w:hAnsiTheme="minorEastAsia" w:eastAsiaTheme="minorEastAsia" w:cstheme="minorEastAsia"/>
          <w:color w:val="auto"/>
          <w:kern w:val="0"/>
          <w:sz w:val="32"/>
          <w:szCs w:val="32"/>
          <w:highlight w:val="none"/>
          <w:u w:val="none"/>
          <w:lang w:val="en-US" w:eastAsia="zh-CN" w:bidi="ar"/>
        </w:rPr>
        <w:t>万元，完成年初预算的</w:t>
      </w:r>
      <w:r>
        <w:rPr>
          <w:rFonts w:hint="eastAsia" w:asciiTheme="minorEastAsia" w:hAnsiTheme="minorEastAsia" w:eastAsiaTheme="minorEastAsia" w:cstheme="minorEastAsia"/>
          <w:color w:val="auto"/>
          <w:kern w:val="0"/>
          <w:sz w:val="32"/>
          <w:szCs w:val="32"/>
          <w:highlight w:val="none"/>
          <w:u w:val="single"/>
          <w:lang w:val="en-US" w:eastAsia="zh-CN" w:bidi="ar"/>
        </w:rPr>
        <w:t>90.94</w:t>
      </w:r>
      <w:r>
        <w:rPr>
          <w:rFonts w:hint="eastAsia" w:asciiTheme="minorEastAsia" w:hAnsiTheme="minorEastAsia" w:eastAsiaTheme="minorEastAsia" w:cstheme="minorEastAsia"/>
          <w:color w:val="auto"/>
          <w:kern w:val="0"/>
          <w:sz w:val="32"/>
          <w:szCs w:val="32"/>
          <w:highlight w:val="none"/>
          <w:u w:val="none"/>
          <w:lang w:val="en-US" w:eastAsia="zh-CN" w:bidi="ar"/>
        </w:rPr>
        <w:t>%。决算数与年初预算数的差异原因：因在职员工调离本单位。</w:t>
      </w:r>
    </w:p>
    <w:p>
      <w:pPr>
        <w:keepNext w:val="0"/>
        <w:keepLines w:val="0"/>
        <w:widowControl/>
        <w:suppressLineNumbers w:val="0"/>
        <w:spacing w:before="0" w:beforeAutospacing="1" w:after="0" w:afterAutospacing="1" w:line="600" w:lineRule="atLeast"/>
        <w:ind w:left="0" w:right="0" w:firstLine="643"/>
        <w:jc w:val="both"/>
      </w:pPr>
      <w:r>
        <w:rPr>
          <w:rFonts w:hint="eastAsia" w:ascii="黑体" w:hAnsi="宋体" w:eastAsia="黑体" w:cs="黑体"/>
          <w:b/>
          <w:bCs/>
          <w:sz w:val="32"/>
          <w:szCs w:val="32"/>
        </w:rPr>
        <w:t>六、一般公共预算基本支出决算情况说明</w:t>
      </w:r>
    </w:p>
    <w:p>
      <w:pPr>
        <w:keepNext w:val="0"/>
        <w:keepLines w:val="0"/>
        <w:widowControl/>
        <w:suppressLineNumbers w:val="0"/>
        <w:spacing w:before="0" w:beforeAutospacing="1" w:after="0" w:afterAutospacing="1" w:line="560" w:lineRule="atLeast"/>
        <w:ind w:left="0" w:right="0" w:firstLine="640"/>
        <w:jc w:val="both"/>
      </w:pPr>
      <w:r>
        <w:rPr>
          <w:sz w:val="32"/>
          <w:szCs w:val="32"/>
          <w:lang w:val="en-US"/>
        </w:rPr>
        <w:t>锡林郭勒盟安神医院单位2022</w:t>
      </w:r>
      <w:r>
        <w:rPr>
          <w:sz w:val="32"/>
          <w:szCs w:val="32"/>
        </w:rPr>
        <w:t>年度一般公共预算财政拨款基本支出决算</w:t>
      </w:r>
      <w:r>
        <w:rPr>
          <w:rFonts w:hint="default" w:ascii="Times New Roman" w:hAnsi="Times New Roman" w:cs="Times New Roman"/>
          <w:sz w:val="32"/>
          <w:szCs w:val="32"/>
          <w:u w:val="single"/>
          <w:lang w:val="en-US"/>
        </w:rPr>
        <w:t>1,377.75</w:t>
      </w:r>
      <w:r>
        <w:rPr>
          <w:sz w:val="32"/>
          <w:szCs w:val="32"/>
        </w:rPr>
        <w:t>万元，其中：</w:t>
      </w:r>
    </w:p>
    <w:p>
      <w:pPr>
        <w:keepNext w:val="0"/>
        <w:keepLines w:val="0"/>
        <w:widowControl/>
        <w:suppressLineNumbers w:val="0"/>
        <w:spacing w:before="0" w:beforeAutospacing="1" w:after="0" w:afterAutospacing="1" w:line="560" w:lineRule="atLeast"/>
        <w:ind w:left="0" w:right="0" w:firstLine="643"/>
        <w:jc w:val="both"/>
      </w:pPr>
      <w:r>
        <w:rPr>
          <w:b/>
          <w:bCs/>
          <w:sz w:val="32"/>
          <w:szCs w:val="32"/>
        </w:rPr>
        <w:t>（一）人员经费</w:t>
      </w:r>
      <w:r>
        <w:rPr>
          <w:rFonts w:hint="default" w:ascii="Times New Roman" w:hAnsi="Times New Roman" w:cs="Times New Roman"/>
          <w:b/>
          <w:bCs/>
          <w:sz w:val="32"/>
          <w:szCs w:val="32"/>
          <w:u w:val="single"/>
          <w:lang w:val="en-US"/>
        </w:rPr>
        <w:t>1,215.28</w:t>
      </w:r>
      <w:r>
        <w:rPr>
          <w:b/>
          <w:bCs/>
          <w:sz w:val="32"/>
          <w:szCs w:val="32"/>
        </w:rPr>
        <w:t>万元</w:t>
      </w:r>
      <w:r>
        <w:rPr>
          <w:sz w:val="32"/>
          <w:szCs w:val="32"/>
        </w:rPr>
        <w:t>。主要包括：基本工资</w:t>
      </w:r>
      <w:r>
        <w:rPr>
          <w:rFonts w:hint="eastAsia"/>
          <w:sz w:val="32"/>
          <w:szCs w:val="32"/>
          <w:lang w:val="en-US" w:eastAsia="zh-CN"/>
        </w:rPr>
        <w:t>160.36万元</w:t>
      </w:r>
      <w:r>
        <w:rPr>
          <w:sz w:val="32"/>
          <w:szCs w:val="32"/>
        </w:rPr>
        <w:t>、津贴补贴</w:t>
      </w:r>
      <w:r>
        <w:rPr>
          <w:rFonts w:hint="eastAsia"/>
          <w:sz w:val="32"/>
          <w:szCs w:val="32"/>
          <w:lang w:val="en-US" w:eastAsia="zh-CN"/>
        </w:rPr>
        <w:t>59.63万元</w:t>
      </w:r>
      <w:r>
        <w:rPr>
          <w:sz w:val="32"/>
          <w:szCs w:val="32"/>
        </w:rPr>
        <w:t>、奖金</w:t>
      </w:r>
      <w:r>
        <w:rPr>
          <w:rFonts w:hint="eastAsia"/>
          <w:sz w:val="32"/>
          <w:szCs w:val="32"/>
          <w:lang w:val="en-US" w:eastAsia="zh-CN"/>
        </w:rPr>
        <w:t>52.12万元</w:t>
      </w:r>
      <w:r>
        <w:rPr>
          <w:sz w:val="32"/>
          <w:szCs w:val="32"/>
        </w:rPr>
        <w:t>、绩效工资</w:t>
      </w:r>
      <w:r>
        <w:rPr>
          <w:rFonts w:hint="eastAsia"/>
          <w:sz w:val="32"/>
          <w:szCs w:val="32"/>
          <w:lang w:val="en-US" w:eastAsia="zh-CN"/>
        </w:rPr>
        <w:t>118.45万元</w:t>
      </w:r>
      <w:r>
        <w:rPr>
          <w:sz w:val="32"/>
          <w:szCs w:val="32"/>
        </w:rPr>
        <w:t>、</w:t>
      </w:r>
      <w:r>
        <w:rPr>
          <w:rFonts w:hint="eastAsia"/>
          <w:sz w:val="32"/>
          <w:szCs w:val="32"/>
          <w:lang w:val="en-US" w:eastAsia="zh-CN"/>
        </w:rPr>
        <w:t>机关事业单位基本养老保险缴费44.22万元、职业年金缴费14.78万元、职工基本医疗保险缴费19.17万元、公务员医疗补助缴费2.95万元、其他社会保障缴费2.09万元、</w:t>
      </w:r>
      <w:r>
        <w:rPr>
          <w:sz w:val="32"/>
          <w:szCs w:val="32"/>
        </w:rPr>
        <w:t>住房公积金</w:t>
      </w:r>
      <w:r>
        <w:rPr>
          <w:rFonts w:hint="eastAsia"/>
          <w:sz w:val="32"/>
          <w:szCs w:val="32"/>
          <w:lang w:val="en-US" w:eastAsia="zh-CN"/>
        </w:rPr>
        <w:t>32.96万元</w:t>
      </w:r>
      <w:r>
        <w:rPr>
          <w:sz w:val="32"/>
          <w:szCs w:val="32"/>
        </w:rPr>
        <w:t>、其他工资福利支出</w:t>
      </w:r>
      <w:r>
        <w:rPr>
          <w:rFonts w:hint="eastAsia"/>
          <w:sz w:val="32"/>
          <w:szCs w:val="32"/>
          <w:lang w:val="en-US" w:eastAsia="zh-CN"/>
        </w:rPr>
        <w:t>636.54万元</w:t>
      </w:r>
      <w:r>
        <w:rPr>
          <w:sz w:val="32"/>
          <w:szCs w:val="32"/>
        </w:rPr>
        <w:t>、退休费</w:t>
      </w:r>
      <w:r>
        <w:rPr>
          <w:rFonts w:hint="eastAsia"/>
          <w:sz w:val="32"/>
          <w:szCs w:val="32"/>
          <w:lang w:val="en-US" w:eastAsia="zh-CN"/>
        </w:rPr>
        <w:t>34.32万元</w:t>
      </w:r>
      <w:r>
        <w:rPr>
          <w:sz w:val="32"/>
          <w:szCs w:val="32"/>
        </w:rPr>
        <w:t>、抚恤金</w:t>
      </w:r>
      <w:r>
        <w:rPr>
          <w:rFonts w:hint="eastAsia"/>
          <w:sz w:val="32"/>
          <w:szCs w:val="32"/>
          <w:lang w:val="en-US" w:eastAsia="zh-CN"/>
        </w:rPr>
        <w:t>11.76万元</w:t>
      </w:r>
      <w:r>
        <w:rPr>
          <w:sz w:val="32"/>
          <w:szCs w:val="32"/>
        </w:rPr>
        <w:t>、生活补助</w:t>
      </w:r>
      <w:r>
        <w:rPr>
          <w:rFonts w:hint="eastAsia"/>
          <w:sz w:val="32"/>
          <w:szCs w:val="32"/>
          <w:lang w:val="en-US" w:eastAsia="zh-CN"/>
        </w:rPr>
        <w:t>5.9万元</w:t>
      </w:r>
      <w:r>
        <w:rPr>
          <w:sz w:val="32"/>
          <w:szCs w:val="32"/>
        </w:rPr>
        <w:t>、医疗费</w:t>
      </w:r>
      <w:r>
        <w:rPr>
          <w:rFonts w:hint="eastAsia"/>
          <w:sz w:val="32"/>
          <w:szCs w:val="32"/>
          <w:lang w:val="en-US" w:eastAsia="zh-CN"/>
        </w:rPr>
        <w:t>20.03万元</w:t>
      </w:r>
      <w:r>
        <w:rPr>
          <w:sz w:val="32"/>
          <w:szCs w:val="32"/>
        </w:rPr>
        <w:t>、奖励金</w:t>
      </w:r>
      <w:r>
        <w:rPr>
          <w:rFonts w:hint="eastAsia"/>
          <w:sz w:val="32"/>
          <w:szCs w:val="32"/>
          <w:lang w:val="en-US" w:eastAsia="zh-CN"/>
        </w:rPr>
        <w:t>0.01万元等</w:t>
      </w:r>
      <w:r>
        <w:rPr>
          <w:sz w:val="32"/>
          <w:szCs w:val="32"/>
        </w:rPr>
        <w:t>。</w:t>
      </w:r>
    </w:p>
    <w:p>
      <w:pPr>
        <w:keepNext w:val="0"/>
        <w:keepLines w:val="0"/>
        <w:widowControl/>
        <w:suppressLineNumbers w:val="0"/>
        <w:spacing w:before="0" w:beforeAutospacing="1" w:after="0" w:afterAutospacing="1" w:line="560" w:lineRule="atLeast"/>
        <w:ind w:left="0" w:right="0" w:firstLine="643"/>
        <w:jc w:val="both"/>
      </w:pPr>
      <w:r>
        <w:rPr>
          <w:b/>
          <w:bCs/>
          <w:sz w:val="32"/>
          <w:szCs w:val="32"/>
        </w:rPr>
        <w:t>（二）公用经费</w:t>
      </w:r>
      <w:r>
        <w:rPr>
          <w:rFonts w:hint="default" w:ascii="Times New Roman" w:hAnsi="Times New Roman" w:cs="Times New Roman"/>
          <w:b/>
          <w:bCs/>
          <w:sz w:val="32"/>
          <w:szCs w:val="32"/>
          <w:u w:val="single"/>
          <w:lang w:val="en-US"/>
        </w:rPr>
        <w:t>162.47</w:t>
      </w:r>
      <w:r>
        <w:rPr>
          <w:b/>
          <w:bCs/>
          <w:sz w:val="32"/>
          <w:szCs w:val="32"/>
        </w:rPr>
        <w:t>万元</w:t>
      </w:r>
      <w:r>
        <w:rPr>
          <w:sz w:val="32"/>
          <w:szCs w:val="32"/>
        </w:rPr>
        <w:t>。主要包括：水费</w:t>
      </w:r>
      <w:r>
        <w:rPr>
          <w:rFonts w:hint="eastAsia"/>
          <w:sz w:val="32"/>
          <w:szCs w:val="32"/>
          <w:lang w:val="en-US" w:eastAsia="zh-CN"/>
        </w:rPr>
        <w:t>25万元</w:t>
      </w:r>
      <w:r>
        <w:rPr>
          <w:sz w:val="32"/>
          <w:szCs w:val="32"/>
        </w:rPr>
        <w:t>、电费</w:t>
      </w:r>
      <w:r>
        <w:rPr>
          <w:rFonts w:hint="eastAsia"/>
          <w:sz w:val="32"/>
          <w:szCs w:val="32"/>
          <w:lang w:val="en-US" w:eastAsia="zh-CN"/>
        </w:rPr>
        <w:t>30.92万元</w:t>
      </w:r>
      <w:r>
        <w:rPr>
          <w:sz w:val="32"/>
          <w:szCs w:val="32"/>
        </w:rPr>
        <w:t>、邮电费</w:t>
      </w:r>
      <w:r>
        <w:rPr>
          <w:rFonts w:hint="eastAsia"/>
          <w:sz w:val="32"/>
          <w:szCs w:val="32"/>
          <w:lang w:val="en-US" w:eastAsia="zh-CN"/>
        </w:rPr>
        <w:t>2万元</w:t>
      </w:r>
      <w:r>
        <w:rPr>
          <w:sz w:val="32"/>
          <w:szCs w:val="32"/>
        </w:rPr>
        <w:t>、取暖费</w:t>
      </w:r>
      <w:r>
        <w:rPr>
          <w:rFonts w:hint="eastAsia"/>
          <w:sz w:val="32"/>
          <w:szCs w:val="32"/>
          <w:lang w:val="en-US" w:eastAsia="zh-CN"/>
        </w:rPr>
        <w:t>87.96万元</w:t>
      </w:r>
      <w:r>
        <w:rPr>
          <w:sz w:val="32"/>
          <w:szCs w:val="32"/>
        </w:rPr>
        <w:t>、专用材料费</w:t>
      </w:r>
      <w:r>
        <w:rPr>
          <w:rFonts w:hint="eastAsia"/>
          <w:sz w:val="32"/>
          <w:szCs w:val="32"/>
          <w:lang w:val="en-US" w:eastAsia="zh-CN"/>
        </w:rPr>
        <w:t>3.84万元</w:t>
      </w:r>
      <w:r>
        <w:rPr>
          <w:sz w:val="32"/>
          <w:szCs w:val="32"/>
        </w:rPr>
        <w:t>、工会经费</w:t>
      </w:r>
      <w:r>
        <w:rPr>
          <w:rFonts w:hint="eastAsia"/>
          <w:sz w:val="32"/>
          <w:szCs w:val="32"/>
          <w:lang w:val="en-US" w:eastAsia="zh-CN"/>
        </w:rPr>
        <w:t>5.22万元</w:t>
      </w:r>
      <w:r>
        <w:rPr>
          <w:sz w:val="32"/>
          <w:szCs w:val="32"/>
        </w:rPr>
        <w:t>、福利费</w:t>
      </w:r>
      <w:r>
        <w:rPr>
          <w:rFonts w:hint="eastAsia"/>
          <w:sz w:val="32"/>
          <w:szCs w:val="32"/>
          <w:lang w:val="en-US" w:eastAsia="zh-CN"/>
        </w:rPr>
        <w:t>6.53万元</w:t>
      </w:r>
      <w:r>
        <w:rPr>
          <w:sz w:val="32"/>
          <w:szCs w:val="32"/>
        </w:rPr>
        <w:t>、公务用车运行维护费</w:t>
      </w:r>
      <w:r>
        <w:rPr>
          <w:rFonts w:hint="eastAsia"/>
          <w:sz w:val="32"/>
          <w:szCs w:val="32"/>
          <w:lang w:val="en-US" w:eastAsia="zh-CN"/>
        </w:rPr>
        <w:t>1万元</w:t>
      </w:r>
      <w:r>
        <w:rPr>
          <w:sz w:val="32"/>
          <w:szCs w:val="32"/>
        </w:rPr>
        <w:t>等。</w:t>
      </w:r>
    </w:p>
    <w:p>
      <w:pPr>
        <w:keepNext w:val="0"/>
        <w:keepLines w:val="0"/>
        <w:widowControl/>
        <w:suppressLineNumbers w:val="0"/>
        <w:spacing w:before="0" w:beforeAutospacing="1" w:after="0" w:afterAutospacing="1" w:line="600" w:lineRule="atLeast"/>
        <w:ind w:left="0" w:right="0" w:firstLine="643"/>
        <w:jc w:val="both"/>
      </w:pPr>
      <w:r>
        <w:rPr>
          <w:rFonts w:hint="eastAsia" w:ascii="黑体" w:hAnsi="宋体" w:eastAsia="黑体" w:cs="黑体"/>
          <w:b/>
          <w:bCs/>
          <w:color w:val="000000"/>
          <w:sz w:val="32"/>
          <w:szCs w:val="32"/>
        </w:rPr>
        <w:t>七、一般公共预算项目支出决算情况说明</w:t>
      </w:r>
    </w:p>
    <w:p>
      <w:pPr>
        <w:keepNext w:val="0"/>
        <w:keepLines w:val="0"/>
        <w:widowControl/>
        <w:suppressLineNumbers w:val="0"/>
        <w:spacing w:before="0" w:beforeAutospacing="1" w:after="0" w:afterAutospacing="1" w:line="560" w:lineRule="atLeast"/>
        <w:ind w:left="0" w:right="0" w:firstLine="640"/>
        <w:jc w:val="both"/>
      </w:pPr>
      <w:r>
        <w:rPr>
          <w:sz w:val="32"/>
          <w:szCs w:val="32"/>
          <w:lang w:val="en-US"/>
        </w:rPr>
        <w:t>锡林郭勒盟安神医院单位2022</w:t>
      </w:r>
      <w:r>
        <w:rPr>
          <w:sz w:val="32"/>
          <w:szCs w:val="32"/>
        </w:rPr>
        <w:t>年度一般公共预算财政拨款项目支出决算</w:t>
      </w:r>
      <w:r>
        <w:rPr>
          <w:rFonts w:hint="default" w:ascii="Times New Roman" w:hAnsi="Times New Roman" w:cs="Times New Roman"/>
          <w:sz w:val="32"/>
          <w:szCs w:val="32"/>
          <w:u w:val="single"/>
          <w:lang w:val="en-US"/>
        </w:rPr>
        <w:t>88.77</w:t>
      </w:r>
      <w:r>
        <w:rPr>
          <w:sz w:val="32"/>
          <w:szCs w:val="32"/>
        </w:rPr>
        <w:t>万元，其中：</w:t>
      </w:r>
    </w:p>
    <w:p>
      <w:pPr>
        <w:keepNext w:val="0"/>
        <w:keepLines w:val="0"/>
        <w:widowControl/>
        <w:suppressLineNumbers w:val="0"/>
        <w:spacing w:before="0" w:beforeAutospacing="1" w:after="0" w:afterAutospacing="1" w:line="560" w:lineRule="atLeast"/>
        <w:ind w:left="0" w:right="0" w:firstLine="643"/>
        <w:jc w:val="both"/>
        <w:rPr>
          <w:color w:val="000000"/>
          <w:sz w:val="32"/>
          <w:szCs w:val="32"/>
        </w:rPr>
      </w:pPr>
      <w:r>
        <w:rPr>
          <w:b/>
          <w:bCs/>
          <w:color w:val="000000"/>
          <w:sz w:val="32"/>
          <w:szCs w:val="32"/>
        </w:rPr>
        <w:t>（一）工资福利支出</w:t>
      </w:r>
      <w:r>
        <w:rPr>
          <w:rFonts w:hint="default" w:ascii="Times New Roman" w:hAnsi="Times New Roman" w:cs="Times New Roman"/>
          <w:b/>
          <w:bCs/>
          <w:color w:val="000000"/>
          <w:sz w:val="32"/>
          <w:szCs w:val="32"/>
          <w:u w:val="single"/>
          <w:lang w:val="en-US"/>
        </w:rPr>
        <w:t>0.00</w:t>
      </w:r>
      <w:r>
        <w:rPr>
          <w:b/>
          <w:bCs/>
          <w:color w:val="000000"/>
          <w:sz w:val="32"/>
          <w:szCs w:val="32"/>
        </w:rPr>
        <w:t>万元</w:t>
      </w:r>
      <w:r>
        <w:rPr>
          <w:color w:val="000000"/>
          <w:sz w:val="32"/>
          <w:szCs w:val="32"/>
        </w:rPr>
        <w:t>。</w:t>
      </w:r>
    </w:p>
    <w:p>
      <w:pPr>
        <w:keepNext w:val="0"/>
        <w:keepLines w:val="0"/>
        <w:widowControl/>
        <w:suppressLineNumbers w:val="0"/>
        <w:spacing w:before="0" w:beforeAutospacing="1" w:after="0" w:afterAutospacing="1" w:line="560" w:lineRule="atLeast"/>
        <w:ind w:left="0" w:right="0" w:firstLine="643"/>
        <w:jc w:val="both"/>
        <w:rPr>
          <w:color w:val="000000"/>
          <w:sz w:val="32"/>
          <w:szCs w:val="32"/>
        </w:rPr>
      </w:pPr>
      <w:r>
        <w:rPr>
          <w:b/>
          <w:bCs/>
          <w:color w:val="000000"/>
          <w:sz w:val="32"/>
          <w:szCs w:val="32"/>
        </w:rPr>
        <w:t>（二）商品和服务支出</w:t>
      </w:r>
      <w:r>
        <w:rPr>
          <w:rFonts w:hint="default" w:ascii="Times New Roman" w:hAnsi="Times New Roman" w:cs="Times New Roman"/>
          <w:b/>
          <w:bCs/>
          <w:color w:val="000000"/>
          <w:sz w:val="32"/>
          <w:szCs w:val="32"/>
          <w:u w:val="single"/>
          <w:lang w:val="en-US"/>
        </w:rPr>
        <w:t>50.01</w:t>
      </w:r>
      <w:r>
        <w:rPr>
          <w:b/>
          <w:bCs/>
          <w:color w:val="000000"/>
          <w:sz w:val="32"/>
          <w:szCs w:val="32"/>
        </w:rPr>
        <w:t>万元</w:t>
      </w:r>
      <w:r>
        <w:rPr>
          <w:color w:val="000000"/>
          <w:sz w:val="32"/>
          <w:szCs w:val="32"/>
        </w:rPr>
        <w:t>。主要包括：办公费</w:t>
      </w:r>
      <w:r>
        <w:rPr>
          <w:rFonts w:hint="eastAsia"/>
          <w:color w:val="000000"/>
          <w:sz w:val="32"/>
          <w:szCs w:val="32"/>
          <w:lang w:val="en-US" w:eastAsia="zh-CN"/>
        </w:rPr>
        <w:t>2万元</w:t>
      </w:r>
      <w:r>
        <w:rPr>
          <w:color w:val="000000"/>
          <w:sz w:val="32"/>
          <w:szCs w:val="32"/>
        </w:rPr>
        <w:t>、租赁费</w:t>
      </w:r>
      <w:r>
        <w:rPr>
          <w:rFonts w:hint="eastAsia"/>
          <w:color w:val="000000"/>
          <w:sz w:val="32"/>
          <w:szCs w:val="32"/>
          <w:lang w:val="en-US" w:eastAsia="zh-CN"/>
        </w:rPr>
        <w:t>4.93万元</w:t>
      </w:r>
      <w:r>
        <w:rPr>
          <w:color w:val="000000"/>
          <w:sz w:val="32"/>
          <w:szCs w:val="32"/>
        </w:rPr>
        <w:t>、培训费</w:t>
      </w:r>
      <w:r>
        <w:rPr>
          <w:rFonts w:hint="eastAsia"/>
          <w:color w:val="000000"/>
          <w:sz w:val="32"/>
          <w:szCs w:val="32"/>
          <w:lang w:val="en-US" w:eastAsia="zh-CN"/>
        </w:rPr>
        <w:t>5.08万元</w:t>
      </w:r>
      <w:r>
        <w:rPr>
          <w:color w:val="000000"/>
          <w:sz w:val="32"/>
          <w:szCs w:val="32"/>
        </w:rPr>
        <w:t>、专用材料费</w:t>
      </w:r>
      <w:r>
        <w:rPr>
          <w:rFonts w:hint="eastAsia"/>
          <w:color w:val="000000"/>
          <w:sz w:val="32"/>
          <w:szCs w:val="32"/>
          <w:lang w:val="en-US" w:eastAsia="zh-CN"/>
        </w:rPr>
        <w:t>36.74万元</w:t>
      </w:r>
      <w:r>
        <w:rPr>
          <w:color w:val="000000"/>
          <w:sz w:val="32"/>
          <w:szCs w:val="32"/>
        </w:rPr>
        <w:t>、委托业务费</w:t>
      </w:r>
      <w:r>
        <w:rPr>
          <w:rFonts w:hint="eastAsia"/>
          <w:color w:val="000000"/>
          <w:sz w:val="32"/>
          <w:szCs w:val="32"/>
          <w:lang w:val="en-US" w:eastAsia="zh-CN"/>
        </w:rPr>
        <w:t>1.26万元</w:t>
      </w:r>
      <w:r>
        <w:rPr>
          <w:color w:val="000000"/>
          <w:sz w:val="32"/>
          <w:szCs w:val="32"/>
        </w:rPr>
        <w:t>。</w:t>
      </w:r>
    </w:p>
    <w:p>
      <w:pPr>
        <w:keepNext w:val="0"/>
        <w:keepLines w:val="0"/>
        <w:widowControl/>
        <w:suppressLineNumbers w:val="0"/>
        <w:spacing w:before="0" w:beforeAutospacing="1" w:after="0" w:afterAutospacing="1" w:line="560" w:lineRule="atLeast"/>
        <w:ind w:left="0" w:right="0" w:firstLine="643"/>
        <w:jc w:val="both"/>
        <w:rPr>
          <w:color w:val="000000"/>
          <w:sz w:val="32"/>
          <w:szCs w:val="32"/>
        </w:rPr>
      </w:pPr>
      <w:r>
        <w:rPr>
          <w:b/>
          <w:bCs/>
          <w:color w:val="000000"/>
          <w:sz w:val="32"/>
          <w:szCs w:val="32"/>
        </w:rPr>
        <w:t>（</w:t>
      </w:r>
      <w:r>
        <w:rPr>
          <w:rFonts w:hint="eastAsia"/>
          <w:b/>
          <w:bCs/>
          <w:color w:val="000000"/>
          <w:sz w:val="32"/>
          <w:szCs w:val="32"/>
          <w:lang w:val="en-US" w:eastAsia="zh-CN"/>
        </w:rPr>
        <w:t>三</w:t>
      </w:r>
      <w:r>
        <w:rPr>
          <w:b/>
          <w:bCs/>
          <w:color w:val="000000"/>
          <w:sz w:val="32"/>
          <w:szCs w:val="32"/>
        </w:rPr>
        <w:t>）</w:t>
      </w:r>
      <w:r>
        <w:rPr>
          <w:rFonts w:hint="eastAsia"/>
          <w:b/>
          <w:bCs/>
          <w:color w:val="000000"/>
          <w:sz w:val="32"/>
          <w:szCs w:val="32"/>
          <w:lang w:val="en-US" w:eastAsia="zh-CN"/>
        </w:rPr>
        <w:t>对个人和家庭的补助</w:t>
      </w:r>
      <w:r>
        <w:rPr>
          <w:b/>
          <w:bCs/>
          <w:color w:val="000000"/>
          <w:sz w:val="32"/>
          <w:szCs w:val="32"/>
        </w:rPr>
        <w:t>支出</w:t>
      </w:r>
      <w:r>
        <w:rPr>
          <w:rFonts w:hint="eastAsia" w:ascii="Times New Roman" w:hAnsi="Times New Roman" w:cs="Times New Roman"/>
          <w:b/>
          <w:bCs/>
          <w:color w:val="000000"/>
          <w:sz w:val="32"/>
          <w:szCs w:val="32"/>
          <w:u w:val="single"/>
          <w:lang w:val="en-US" w:eastAsia="zh-CN"/>
        </w:rPr>
        <w:t>38.76</w:t>
      </w:r>
      <w:r>
        <w:rPr>
          <w:b/>
          <w:bCs/>
          <w:color w:val="000000"/>
          <w:sz w:val="32"/>
          <w:szCs w:val="32"/>
        </w:rPr>
        <w:t>万元</w:t>
      </w:r>
      <w:r>
        <w:rPr>
          <w:color w:val="000000"/>
          <w:sz w:val="32"/>
          <w:szCs w:val="32"/>
        </w:rPr>
        <w:t>。主要包括：</w:t>
      </w:r>
      <w:r>
        <w:rPr>
          <w:rFonts w:hint="eastAsia"/>
          <w:color w:val="000000"/>
          <w:sz w:val="32"/>
          <w:szCs w:val="32"/>
          <w:lang w:val="en-US" w:eastAsia="zh-CN"/>
        </w:rPr>
        <w:t>其他对个人和家庭的补助支出38.76万元（用于支付抗疫人员补助）</w:t>
      </w:r>
      <w:r>
        <w:rPr>
          <w:color w:val="000000"/>
          <w:sz w:val="32"/>
          <w:szCs w:val="32"/>
        </w:rPr>
        <w:t>。</w:t>
      </w:r>
    </w:p>
    <w:p>
      <w:pPr>
        <w:keepNext w:val="0"/>
        <w:keepLines w:val="0"/>
        <w:widowControl/>
        <w:suppressLineNumbers w:val="0"/>
        <w:spacing w:before="0" w:beforeAutospacing="1" w:after="0" w:afterAutospacing="1" w:line="600" w:lineRule="atLeast"/>
        <w:ind w:left="0" w:right="0" w:firstLine="643"/>
        <w:jc w:val="both"/>
      </w:pPr>
      <w:r>
        <w:rPr>
          <w:rFonts w:hint="eastAsia" w:ascii="黑体" w:hAnsi="宋体" w:eastAsia="黑体" w:cs="黑体"/>
          <w:b/>
          <w:bCs/>
          <w:color w:val="000000"/>
          <w:sz w:val="32"/>
          <w:szCs w:val="32"/>
        </w:rPr>
        <w:t>八、</w:t>
      </w:r>
      <w:r>
        <w:rPr>
          <w:rFonts w:hint="eastAsia" w:ascii="黑体" w:hAnsi="宋体" w:eastAsia="黑体" w:cs="黑体"/>
          <w:b/>
          <w:bCs/>
          <w:sz w:val="32"/>
          <w:szCs w:val="32"/>
        </w:rPr>
        <w:t>财政拨款</w:t>
      </w:r>
      <w:r>
        <w:rPr>
          <w:rFonts w:hint="default" w:ascii="Times New Roman" w:hAnsi="Times New Roman" w:cs="Times New Roman"/>
          <w:b/>
          <w:bCs/>
          <w:sz w:val="32"/>
          <w:szCs w:val="32"/>
          <w:lang w:val="en-US"/>
        </w:rPr>
        <w:t>“</w:t>
      </w:r>
      <w:r>
        <w:rPr>
          <w:rFonts w:hint="eastAsia" w:ascii="黑体" w:hAnsi="宋体" w:eastAsia="黑体" w:cs="黑体"/>
          <w:b/>
          <w:bCs/>
          <w:sz w:val="32"/>
          <w:szCs w:val="32"/>
        </w:rPr>
        <w:t>三公</w:t>
      </w:r>
      <w:r>
        <w:rPr>
          <w:rFonts w:hint="default" w:ascii="Times New Roman" w:hAnsi="Times New Roman" w:cs="Times New Roman"/>
          <w:b/>
          <w:bCs/>
          <w:sz w:val="32"/>
          <w:szCs w:val="32"/>
          <w:lang w:val="en-US"/>
        </w:rPr>
        <w:t>”</w:t>
      </w:r>
      <w:r>
        <w:rPr>
          <w:rFonts w:hint="eastAsia" w:ascii="黑体" w:hAnsi="宋体" w:eastAsia="黑体" w:cs="黑体"/>
          <w:b/>
          <w:bCs/>
          <w:sz w:val="32"/>
          <w:szCs w:val="32"/>
        </w:rPr>
        <w:t>经费支出决算情况说明</w:t>
      </w:r>
    </w:p>
    <w:p>
      <w:pPr>
        <w:keepNext/>
        <w:keepLines w:val="0"/>
        <w:widowControl/>
        <w:suppressLineNumbers w:val="0"/>
        <w:spacing w:before="0" w:beforeAutospacing="1" w:after="0" w:afterAutospacing="1" w:line="560" w:lineRule="atLeast"/>
        <w:ind w:left="0" w:right="0" w:firstLine="643"/>
        <w:jc w:val="both"/>
      </w:pPr>
      <w:r>
        <w:rPr>
          <w:rFonts w:hint="eastAsia" w:ascii="楷体" w:hAnsi="楷体" w:eastAsia="楷体" w:cs="楷体"/>
          <w:b/>
          <w:bCs/>
          <w:sz w:val="32"/>
          <w:szCs w:val="32"/>
        </w:rPr>
        <w:t>（一）财政拨款</w:t>
      </w:r>
      <w:r>
        <w:rPr>
          <w:rFonts w:hint="default" w:ascii="Times New Roman" w:hAnsi="Times New Roman" w:cs="Times New Roman"/>
          <w:b/>
          <w:bCs/>
          <w:sz w:val="32"/>
          <w:szCs w:val="32"/>
          <w:lang w:val="en-US"/>
        </w:rPr>
        <w:t>“</w:t>
      </w:r>
      <w:r>
        <w:rPr>
          <w:rFonts w:hint="eastAsia" w:ascii="楷体" w:hAnsi="楷体" w:eastAsia="楷体" w:cs="楷体"/>
          <w:b/>
          <w:bCs/>
          <w:sz w:val="32"/>
          <w:szCs w:val="32"/>
        </w:rPr>
        <w:t>三公</w:t>
      </w:r>
      <w:r>
        <w:rPr>
          <w:rFonts w:hint="default" w:ascii="Times New Roman" w:hAnsi="Times New Roman" w:cs="Times New Roman"/>
          <w:b/>
          <w:bCs/>
          <w:sz w:val="32"/>
          <w:szCs w:val="32"/>
          <w:lang w:val="en-US"/>
        </w:rPr>
        <w:t>”</w:t>
      </w:r>
      <w:r>
        <w:rPr>
          <w:rFonts w:hint="eastAsia" w:ascii="楷体" w:hAnsi="楷体" w:eastAsia="楷体" w:cs="楷体"/>
          <w:b/>
          <w:bCs/>
          <w:sz w:val="32"/>
          <w:szCs w:val="32"/>
        </w:rPr>
        <w:t>经费支出总体情况说明。</w:t>
      </w:r>
    </w:p>
    <w:p>
      <w:pPr>
        <w:keepNext w:val="0"/>
        <w:keepLines w:val="0"/>
        <w:widowControl/>
        <w:suppressLineNumbers w:val="0"/>
        <w:spacing w:before="0" w:beforeAutospacing="1" w:after="0" w:afterAutospacing="1" w:line="560" w:lineRule="atLeast"/>
        <w:ind w:left="0" w:right="0" w:firstLine="640"/>
        <w:jc w:val="both"/>
        <w:rPr>
          <w:rFonts w:hint="eastAsia" w:eastAsiaTheme="minorEastAsia"/>
          <w:lang w:eastAsia="zh-CN"/>
        </w:rPr>
      </w:pPr>
      <w:r>
        <w:rPr>
          <w:sz w:val="32"/>
          <w:szCs w:val="32"/>
          <w:lang w:val="en-US"/>
        </w:rPr>
        <w:t>锡林郭勒盟安神医院单位</w:t>
      </w:r>
      <w:r>
        <w:rPr>
          <w:rFonts w:hint="default" w:ascii="Times New Roman" w:hAnsi="Times New Roman" w:cs="Times New Roman"/>
          <w:sz w:val="32"/>
          <w:szCs w:val="32"/>
          <w:lang w:val="en-US"/>
        </w:rPr>
        <w:t xml:space="preserve"> </w:t>
      </w:r>
      <w:r>
        <w:rPr>
          <w:sz w:val="32"/>
          <w:szCs w:val="32"/>
          <w:lang w:val="en-US"/>
        </w:rPr>
        <w:t>2022</w:t>
      </w:r>
      <w:r>
        <w:rPr>
          <w:sz w:val="32"/>
          <w:szCs w:val="32"/>
        </w:rPr>
        <w:t>年度财政拨款</w:t>
      </w:r>
      <w:r>
        <w:rPr>
          <w:rFonts w:hint="default" w:ascii="Times New Roman" w:hAnsi="Times New Roman" w:cs="Times New Roman"/>
          <w:sz w:val="32"/>
          <w:szCs w:val="32"/>
          <w:lang w:val="en-US"/>
        </w:rPr>
        <w:t>“</w:t>
      </w:r>
      <w:r>
        <w:rPr>
          <w:sz w:val="32"/>
          <w:szCs w:val="32"/>
        </w:rPr>
        <w:t>三公</w:t>
      </w:r>
      <w:r>
        <w:rPr>
          <w:rFonts w:hint="default" w:ascii="Times New Roman" w:hAnsi="Times New Roman" w:cs="Times New Roman"/>
          <w:sz w:val="32"/>
          <w:szCs w:val="32"/>
          <w:lang w:val="en-US"/>
        </w:rPr>
        <w:t>”</w:t>
      </w:r>
      <w:r>
        <w:rPr>
          <w:sz w:val="32"/>
          <w:szCs w:val="32"/>
        </w:rPr>
        <w:t>经费预算</w:t>
      </w:r>
      <w:r>
        <w:rPr>
          <w:rFonts w:hint="default" w:ascii="Times New Roman" w:hAnsi="Times New Roman" w:cs="Times New Roman"/>
          <w:sz w:val="32"/>
          <w:szCs w:val="32"/>
          <w:u w:val="single"/>
          <w:lang w:val="en-US"/>
        </w:rPr>
        <w:t>1.00</w:t>
      </w:r>
      <w:r>
        <w:rPr>
          <w:sz w:val="32"/>
          <w:szCs w:val="32"/>
        </w:rPr>
        <w:t>万元，支出决算</w:t>
      </w:r>
      <w:r>
        <w:rPr>
          <w:rFonts w:hint="default" w:ascii="Times New Roman" w:hAnsi="Times New Roman" w:cs="Times New Roman"/>
          <w:sz w:val="32"/>
          <w:szCs w:val="32"/>
          <w:u w:val="single"/>
          <w:lang w:val="en-US"/>
        </w:rPr>
        <w:t>1.00</w:t>
      </w:r>
      <w:r>
        <w:rPr>
          <w:sz w:val="32"/>
          <w:szCs w:val="32"/>
        </w:rPr>
        <w:t>万元，完成预算的</w:t>
      </w:r>
      <w:r>
        <w:rPr>
          <w:rFonts w:hint="default" w:ascii="Times New Roman" w:hAnsi="Times New Roman" w:cs="Times New Roman"/>
          <w:sz w:val="32"/>
          <w:szCs w:val="32"/>
          <w:u w:val="single"/>
          <w:lang w:val="en-US"/>
        </w:rPr>
        <w:t>100.00</w:t>
      </w:r>
      <w:r>
        <w:rPr>
          <w:sz w:val="32"/>
          <w:szCs w:val="32"/>
          <w:lang w:val="en-US"/>
        </w:rPr>
        <w:t>%</w:t>
      </w:r>
      <w:r>
        <w:rPr>
          <w:sz w:val="32"/>
          <w:szCs w:val="32"/>
        </w:rPr>
        <w:t>。其中：因公出国（境）费预算</w:t>
      </w:r>
      <w:r>
        <w:rPr>
          <w:rFonts w:hint="default" w:ascii="Times New Roman" w:hAnsi="Times New Roman" w:cs="Times New Roman"/>
          <w:sz w:val="32"/>
          <w:szCs w:val="32"/>
          <w:u w:val="single"/>
          <w:lang w:val="en-US"/>
        </w:rPr>
        <w:t>0.00</w:t>
      </w:r>
      <w:r>
        <w:rPr>
          <w:sz w:val="32"/>
          <w:szCs w:val="32"/>
        </w:rPr>
        <w:t>万元，支出决算</w:t>
      </w:r>
      <w:r>
        <w:rPr>
          <w:rFonts w:hint="default" w:ascii="Times New Roman" w:hAnsi="Times New Roman" w:cs="Times New Roman"/>
          <w:sz w:val="32"/>
          <w:szCs w:val="32"/>
          <w:u w:val="single"/>
          <w:lang w:val="en-US"/>
        </w:rPr>
        <w:t>0.00</w:t>
      </w:r>
      <w:r>
        <w:rPr>
          <w:sz w:val="32"/>
          <w:szCs w:val="32"/>
        </w:rPr>
        <w:t>万元，完成预算的</w:t>
      </w:r>
      <w:r>
        <w:rPr>
          <w:rFonts w:hint="default" w:ascii="Times New Roman" w:hAnsi="Times New Roman" w:cs="Times New Roman"/>
          <w:sz w:val="32"/>
          <w:szCs w:val="32"/>
          <w:u w:val="single"/>
          <w:lang w:val="en-US"/>
        </w:rPr>
        <w:t>0.00</w:t>
      </w:r>
      <w:r>
        <w:rPr>
          <w:sz w:val="32"/>
          <w:szCs w:val="32"/>
          <w:lang w:val="en-US"/>
        </w:rPr>
        <w:t>%</w:t>
      </w:r>
      <w:r>
        <w:rPr>
          <w:sz w:val="32"/>
          <w:szCs w:val="32"/>
        </w:rPr>
        <w:t>；公务用车购置及运行维护费预算</w:t>
      </w:r>
      <w:r>
        <w:rPr>
          <w:rFonts w:hint="default" w:ascii="Times New Roman" w:hAnsi="Times New Roman" w:cs="Times New Roman"/>
          <w:sz w:val="32"/>
          <w:szCs w:val="32"/>
          <w:u w:val="single"/>
          <w:lang w:val="en-US"/>
        </w:rPr>
        <w:t>1.00</w:t>
      </w:r>
      <w:r>
        <w:rPr>
          <w:sz w:val="32"/>
          <w:szCs w:val="32"/>
        </w:rPr>
        <w:t>万元，支出决算</w:t>
      </w:r>
      <w:r>
        <w:rPr>
          <w:rFonts w:hint="default" w:ascii="Times New Roman" w:hAnsi="Times New Roman" w:cs="Times New Roman"/>
          <w:sz w:val="32"/>
          <w:szCs w:val="32"/>
          <w:u w:val="single"/>
          <w:lang w:val="en-US"/>
        </w:rPr>
        <w:t>1.00</w:t>
      </w:r>
      <w:r>
        <w:rPr>
          <w:sz w:val="32"/>
          <w:szCs w:val="32"/>
        </w:rPr>
        <w:t>万元，完成预算的</w:t>
      </w:r>
      <w:r>
        <w:rPr>
          <w:rFonts w:hint="default" w:ascii="Times New Roman" w:hAnsi="Times New Roman" w:cs="Times New Roman"/>
          <w:sz w:val="32"/>
          <w:szCs w:val="32"/>
          <w:u w:val="single"/>
          <w:lang w:val="en-US"/>
        </w:rPr>
        <w:t>100.00</w:t>
      </w:r>
      <w:r>
        <w:rPr>
          <w:sz w:val="32"/>
          <w:szCs w:val="32"/>
          <w:lang w:val="en-US"/>
        </w:rPr>
        <w:t>%</w:t>
      </w:r>
      <w:r>
        <w:rPr>
          <w:sz w:val="32"/>
          <w:szCs w:val="32"/>
        </w:rPr>
        <w:t>；公务接待费预算</w:t>
      </w:r>
      <w:r>
        <w:rPr>
          <w:rFonts w:hint="default" w:ascii="Times New Roman" w:hAnsi="Times New Roman" w:cs="Times New Roman"/>
          <w:sz w:val="32"/>
          <w:szCs w:val="32"/>
          <w:u w:val="single"/>
          <w:lang w:val="en-US"/>
        </w:rPr>
        <w:t>0.00</w:t>
      </w:r>
      <w:r>
        <w:rPr>
          <w:sz w:val="32"/>
          <w:szCs w:val="32"/>
        </w:rPr>
        <w:t>万元，支出决算</w:t>
      </w:r>
      <w:r>
        <w:rPr>
          <w:rFonts w:hint="default" w:ascii="Times New Roman" w:hAnsi="Times New Roman" w:cs="Times New Roman"/>
          <w:sz w:val="32"/>
          <w:szCs w:val="32"/>
          <w:u w:val="single"/>
          <w:lang w:val="en-US"/>
        </w:rPr>
        <w:t>0.00</w:t>
      </w:r>
      <w:r>
        <w:rPr>
          <w:sz w:val="32"/>
          <w:szCs w:val="32"/>
        </w:rPr>
        <w:t>万元，完成预算的</w:t>
      </w:r>
      <w:r>
        <w:rPr>
          <w:rFonts w:hint="default" w:ascii="Times New Roman" w:hAnsi="Times New Roman" w:cs="Times New Roman"/>
          <w:sz w:val="32"/>
          <w:szCs w:val="32"/>
          <w:u w:val="single"/>
          <w:lang w:val="en-US"/>
        </w:rPr>
        <w:t>0.00</w:t>
      </w:r>
      <w:r>
        <w:rPr>
          <w:sz w:val="32"/>
          <w:szCs w:val="32"/>
          <w:lang w:val="en-US"/>
        </w:rPr>
        <w:t>%</w:t>
      </w:r>
      <w:r>
        <w:rPr>
          <w:sz w:val="32"/>
          <w:szCs w:val="32"/>
        </w:rPr>
        <w:t>。</w:t>
      </w:r>
      <w:r>
        <w:rPr>
          <w:sz w:val="32"/>
          <w:szCs w:val="32"/>
          <w:lang w:val="en-US"/>
        </w:rPr>
        <w:t>2022</w:t>
      </w:r>
      <w:r>
        <w:rPr>
          <w:sz w:val="32"/>
          <w:szCs w:val="32"/>
        </w:rPr>
        <w:t>年度财政拨款</w:t>
      </w:r>
      <w:r>
        <w:rPr>
          <w:rFonts w:hint="default" w:ascii="Times New Roman" w:hAnsi="Times New Roman" w:cs="Times New Roman"/>
          <w:sz w:val="32"/>
          <w:szCs w:val="32"/>
          <w:lang w:val="en-US"/>
        </w:rPr>
        <w:t>“</w:t>
      </w:r>
      <w:r>
        <w:rPr>
          <w:sz w:val="32"/>
          <w:szCs w:val="32"/>
        </w:rPr>
        <w:t>三公</w:t>
      </w:r>
      <w:r>
        <w:rPr>
          <w:rFonts w:hint="default" w:ascii="Times New Roman" w:hAnsi="Times New Roman" w:cs="Times New Roman"/>
          <w:sz w:val="32"/>
          <w:szCs w:val="32"/>
          <w:lang w:val="en-US"/>
        </w:rPr>
        <w:t>”</w:t>
      </w:r>
      <w:r>
        <w:rPr>
          <w:sz w:val="32"/>
          <w:szCs w:val="32"/>
        </w:rPr>
        <w:t>经费支出决算与预算</w:t>
      </w:r>
      <w:r>
        <w:rPr>
          <w:rFonts w:hint="eastAsia"/>
          <w:sz w:val="32"/>
          <w:szCs w:val="32"/>
          <w:lang w:val="en-US" w:eastAsia="zh-CN"/>
        </w:rPr>
        <w:t>无</w:t>
      </w:r>
      <w:r>
        <w:rPr>
          <w:sz w:val="32"/>
          <w:szCs w:val="32"/>
        </w:rPr>
        <w:t>差异</w:t>
      </w:r>
      <w:r>
        <w:rPr>
          <w:rFonts w:hint="eastAsia"/>
          <w:sz w:val="32"/>
          <w:szCs w:val="32"/>
          <w:lang w:eastAsia="zh-CN"/>
        </w:rPr>
        <w:t>。</w:t>
      </w:r>
    </w:p>
    <w:p>
      <w:pPr>
        <w:keepNext/>
        <w:keepLines w:val="0"/>
        <w:widowControl/>
        <w:suppressLineNumbers w:val="0"/>
        <w:spacing w:before="0" w:beforeAutospacing="1" w:after="0" w:afterAutospacing="1" w:line="560" w:lineRule="atLeast"/>
        <w:ind w:left="0" w:right="0" w:firstLine="643"/>
        <w:jc w:val="both"/>
      </w:pPr>
      <w:r>
        <w:rPr>
          <w:rFonts w:hint="eastAsia" w:ascii="楷体" w:hAnsi="楷体" w:eastAsia="楷体" w:cs="楷体"/>
          <w:b/>
          <w:bCs/>
          <w:sz w:val="32"/>
          <w:szCs w:val="32"/>
        </w:rPr>
        <w:t>（二）财政拨款</w:t>
      </w:r>
      <w:r>
        <w:rPr>
          <w:rFonts w:hint="default" w:ascii="Times New Roman" w:hAnsi="Times New Roman" w:cs="Times New Roman"/>
          <w:b/>
          <w:bCs/>
          <w:sz w:val="32"/>
          <w:szCs w:val="32"/>
          <w:lang w:val="en-US"/>
        </w:rPr>
        <w:t>“</w:t>
      </w:r>
      <w:r>
        <w:rPr>
          <w:rFonts w:hint="eastAsia" w:ascii="楷体" w:hAnsi="楷体" w:eastAsia="楷体" w:cs="楷体"/>
          <w:b/>
          <w:bCs/>
          <w:sz w:val="32"/>
          <w:szCs w:val="32"/>
        </w:rPr>
        <w:t>三公</w:t>
      </w:r>
      <w:r>
        <w:rPr>
          <w:rFonts w:hint="default" w:ascii="Times New Roman" w:hAnsi="Times New Roman" w:cs="Times New Roman"/>
          <w:b/>
          <w:bCs/>
          <w:sz w:val="32"/>
          <w:szCs w:val="32"/>
          <w:lang w:val="en-US"/>
        </w:rPr>
        <w:t>”</w:t>
      </w:r>
      <w:r>
        <w:rPr>
          <w:rFonts w:hint="eastAsia" w:ascii="楷体" w:hAnsi="楷体" w:eastAsia="楷体" w:cs="楷体"/>
          <w:b/>
          <w:bCs/>
          <w:sz w:val="32"/>
          <w:szCs w:val="32"/>
        </w:rPr>
        <w:t>经费支出具体情况说明。</w:t>
      </w:r>
    </w:p>
    <w:p>
      <w:pPr>
        <w:keepNext/>
        <w:keepLines w:val="0"/>
        <w:widowControl/>
        <w:suppressLineNumbers w:val="0"/>
        <w:spacing w:before="0" w:beforeAutospacing="1" w:after="0" w:afterAutospacing="1" w:line="560" w:lineRule="atLeast"/>
        <w:ind w:left="0" w:right="0" w:firstLine="643"/>
        <w:jc w:val="both"/>
      </w:pPr>
      <w:r>
        <w:rPr>
          <w:sz w:val="32"/>
          <w:szCs w:val="32"/>
          <w:lang w:val="en-US"/>
        </w:rPr>
        <w:t>锡林郭勒盟安神医院单位2022</w:t>
      </w:r>
      <w:r>
        <w:rPr>
          <w:sz w:val="32"/>
          <w:szCs w:val="32"/>
        </w:rPr>
        <w:t>年度财政拨款</w:t>
      </w:r>
      <w:r>
        <w:rPr>
          <w:rFonts w:hint="default" w:ascii="Times New Roman" w:hAnsi="Times New Roman" w:cs="Times New Roman"/>
          <w:sz w:val="32"/>
          <w:szCs w:val="32"/>
          <w:lang w:val="en-US"/>
        </w:rPr>
        <w:t>“</w:t>
      </w:r>
      <w:r>
        <w:rPr>
          <w:sz w:val="32"/>
          <w:szCs w:val="32"/>
        </w:rPr>
        <w:t>三公</w:t>
      </w:r>
      <w:r>
        <w:rPr>
          <w:rFonts w:hint="default" w:ascii="Times New Roman" w:hAnsi="Times New Roman" w:cs="Times New Roman"/>
          <w:sz w:val="32"/>
          <w:szCs w:val="32"/>
          <w:lang w:val="en-US"/>
        </w:rPr>
        <w:t>”</w:t>
      </w:r>
      <w:r>
        <w:rPr>
          <w:sz w:val="32"/>
          <w:szCs w:val="32"/>
        </w:rPr>
        <w:t>经费支出</w:t>
      </w:r>
      <w:r>
        <w:rPr>
          <w:rFonts w:hint="default" w:ascii="Times New Roman" w:hAnsi="Times New Roman" w:cs="Times New Roman"/>
          <w:sz w:val="32"/>
          <w:szCs w:val="32"/>
          <w:u w:val="single"/>
          <w:lang w:val="en-US"/>
        </w:rPr>
        <w:t>1.00</w:t>
      </w:r>
      <w:r>
        <w:rPr>
          <w:sz w:val="32"/>
          <w:szCs w:val="32"/>
        </w:rPr>
        <w:t>万元。因公出国（境）费支出</w:t>
      </w:r>
      <w:r>
        <w:rPr>
          <w:rFonts w:hint="default" w:ascii="Times New Roman" w:hAnsi="Times New Roman" w:cs="Times New Roman"/>
          <w:sz w:val="32"/>
          <w:szCs w:val="32"/>
          <w:u w:val="single"/>
          <w:lang w:val="en-US"/>
        </w:rPr>
        <w:t>0.00</w:t>
      </w:r>
      <w:r>
        <w:rPr>
          <w:sz w:val="32"/>
          <w:szCs w:val="32"/>
        </w:rPr>
        <w:t>万元，占</w:t>
      </w:r>
      <w:r>
        <w:rPr>
          <w:rFonts w:hint="default" w:ascii="Times New Roman" w:hAnsi="Times New Roman" w:cs="Times New Roman"/>
          <w:sz w:val="32"/>
          <w:szCs w:val="32"/>
          <w:u w:val="single"/>
          <w:lang w:val="en-US"/>
        </w:rPr>
        <w:t>0.00</w:t>
      </w:r>
      <w:r>
        <w:rPr>
          <w:sz w:val="32"/>
          <w:szCs w:val="32"/>
          <w:lang w:val="en-US"/>
        </w:rPr>
        <w:t>%</w:t>
      </w:r>
      <w:r>
        <w:rPr>
          <w:sz w:val="32"/>
          <w:szCs w:val="32"/>
        </w:rPr>
        <w:t>；公务用车购置及运行维护费支出</w:t>
      </w:r>
      <w:r>
        <w:rPr>
          <w:rFonts w:hint="default" w:ascii="Times New Roman" w:hAnsi="Times New Roman" w:cs="Times New Roman"/>
          <w:sz w:val="32"/>
          <w:szCs w:val="32"/>
          <w:u w:val="single"/>
          <w:lang w:val="en-US"/>
        </w:rPr>
        <w:t>1.00</w:t>
      </w:r>
      <w:r>
        <w:rPr>
          <w:sz w:val="32"/>
          <w:szCs w:val="32"/>
        </w:rPr>
        <w:t>万元，占</w:t>
      </w:r>
      <w:r>
        <w:rPr>
          <w:rFonts w:hint="default" w:ascii="Times New Roman" w:hAnsi="Times New Roman" w:cs="Times New Roman"/>
          <w:sz w:val="32"/>
          <w:szCs w:val="32"/>
          <w:u w:val="single"/>
          <w:lang w:val="en-US"/>
        </w:rPr>
        <w:t>100.00</w:t>
      </w:r>
      <w:r>
        <w:rPr>
          <w:sz w:val="32"/>
          <w:szCs w:val="32"/>
          <w:lang w:val="en-US"/>
        </w:rPr>
        <w:t>%</w:t>
      </w:r>
      <w:r>
        <w:rPr>
          <w:sz w:val="32"/>
          <w:szCs w:val="32"/>
        </w:rPr>
        <w:t>；公务接待费支出</w:t>
      </w:r>
      <w:r>
        <w:rPr>
          <w:rFonts w:hint="default" w:ascii="Times New Roman" w:hAnsi="Times New Roman" w:cs="Times New Roman"/>
          <w:sz w:val="32"/>
          <w:szCs w:val="32"/>
          <w:u w:val="single"/>
          <w:lang w:val="en-US"/>
        </w:rPr>
        <w:t>0.00</w:t>
      </w:r>
      <w:r>
        <w:rPr>
          <w:sz w:val="32"/>
          <w:szCs w:val="32"/>
        </w:rPr>
        <w:t>万元，占</w:t>
      </w:r>
      <w:r>
        <w:rPr>
          <w:rFonts w:hint="default" w:ascii="Times New Roman" w:hAnsi="Times New Roman" w:cs="Times New Roman"/>
          <w:sz w:val="32"/>
          <w:szCs w:val="32"/>
          <w:u w:val="single"/>
          <w:lang w:val="en-US"/>
        </w:rPr>
        <w:t>0.00</w:t>
      </w:r>
      <w:r>
        <w:rPr>
          <w:sz w:val="32"/>
          <w:szCs w:val="32"/>
          <w:lang w:val="en-US"/>
        </w:rPr>
        <w:t>%</w:t>
      </w:r>
      <w:r>
        <w:rPr>
          <w:sz w:val="32"/>
          <w:szCs w:val="32"/>
        </w:rPr>
        <w:t>。其中：</w:t>
      </w:r>
    </w:p>
    <w:p>
      <w:pPr>
        <w:keepNext w:val="0"/>
        <w:keepLines w:val="0"/>
        <w:widowControl/>
        <w:suppressLineNumbers w:val="0"/>
        <w:spacing w:before="0" w:beforeAutospacing="1" w:after="0" w:afterAutospacing="1" w:line="560" w:lineRule="atLeast"/>
        <w:ind w:left="0" w:right="0" w:firstLine="640"/>
        <w:jc w:val="both"/>
      </w:pPr>
      <w:r>
        <w:rPr>
          <w:rFonts w:hint="default" w:ascii="Times New Roman" w:hAnsi="Times New Roman" w:cs="Times New Roman"/>
          <w:sz w:val="32"/>
          <w:szCs w:val="32"/>
          <w:lang w:val="en-US"/>
        </w:rPr>
        <w:t>1.</w:t>
      </w:r>
      <w:r>
        <w:rPr>
          <w:sz w:val="32"/>
          <w:szCs w:val="32"/>
        </w:rPr>
        <w:t>因公出国（境）费支出</w:t>
      </w:r>
      <w:r>
        <w:rPr>
          <w:rFonts w:hint="default" w:ascii="Times New Roman" w:hAnsi="Times New Roman" w:cs="Times New Roman"/>
          <w:sz w:val="32"/>
          <w:szCs w:val="32"/>
          <w:u w:val="single"/>
          <w:lang w:val="en-US"/>
        </w:rPr>
        <w:t>0.00</w:t>
      </w:r>
      <w:r>
        <w:rPr>
          <w:sz w:val="32"/>
          <w:szCs w:val="32"/>
        </w:rPr>
        <w:t>万元，全年出国（境）团组</w:t>
      </w:r>
      <w:r>
        <w:rPr>
          <w:rFonts w:hint="default" w:ascii="Times New Roman" w:hAnsi="Times New Roman" w:cs="Times New Roman"/>
          <w:sz w:val="32"/>
          <w:szCs w:val="32"/>
          <w:u w:val="single"/>
          <w:lang w:val="en-US"/>
        </w:rPr>
        <w:t>0</w:t>
      </w:r>
      <w:r>
        <w:rPr>
          <w:sz w:val="32"/>
          <w:szCs w:val="32"/>
        </w:rPr>
        <w:t>个，累计</w:t>
      </w:r>
      <w:r>
        <w:rPr>
          <w:rFonts w:hint="default" w:ascii="Times New Roman" w:hAnsi="Times New Roman" w:cs="Times New Roman"/>
          <w:sz w:val="32"/>
          <w:szCs w:val="32"/>
          <w:u w:val="single"/>
          <w:lang w:val="en-US"/>
        </w:rPr>
        <w:t>0</w:t>
      </w:r>
      <w:r>
        <w:rPr>
          <w:sz w:val="32"/>
          <w:szCs w:val="32"/>
        </w:rPr>
        <w:t>人次。与上年决算相比，增加（减少）</w:t>
      </w:r>
      <w:r>
        <w:rPr>
          <w:rFonts w:hint="default" w:ascii="Times New Roman" w:hAnsi="Times New Roman" w:cs="Times New Roman"/>
          <w:sz w:val="32"/>
          <w:szCs w:val="32"/>
          <w:u w:val="single"/>
          <w:lang w:val="en-US"/>
        </w:rPr>
        <w:t>0.00</w:t>
      </w:r>
      <w:r>
        <w:rPr>
          <w:sz w:val="32"/>
          <w:szCs w:val="32"/>
        </w:rPr>
        <w:t>万元，增长（减少）</w:t>
      </w:r>
      <w:r>
        <w:rPr>
          <w:rFonts w:hint="default" w:ascii="Times New Roman" w:hAnsi="Times New Roman" w:cs="Times New Roman"/>
          <w:sz w:val="32"/>
          <w:szCs w:val="32"/>
          <w:u w:val="single"/>
          <w:lang w:val="en-US"/>
        </w:rPr>
        <w:t>0.00</w:t>
      </w:r>
      <w:r>
        <w:rPr>
          <w:sz w:val="32"/>
          <w:szCs w:val="32"/>
          <w:lang w:val="en-US"/>
        </w:rPr>
        <w:t>%</w:t>
      </w:r>
      <w:r>
        <w:rPr>
          <w:sz w:val="32"/>
          <w:szCs w:val="32"/>
        </w:rPr>
        <w:t>，变动原因：</w:t>
      </w:r>
      <w:r>
        <w:rPr>
          <w:rFonts w:hint="eastAsia"/>
          <w:sz w:val="32"/>
          <w:szCs w:val="32"/>
          <w:lang w:val="en-US" w:eastAsia="zh-CN"/>
        </w:rPr>
        <w:t>无此项内容</w:t>
      </w:r>
      <w:r>
        <w:rPr>
          <w:sz w:val="32"/>
          <w:szCs w:val="32"/>
        </w:rPr>
        <w:t>。</w:t>
      </w:r>
    </w:p>
    <w:p>
      <w:pPr>
        <w:keepNext w:val="0"/>
        <w:keepLines w:val="0"/>
        <w:widowControl/>
        <w:suppressLineNumbers w:val="0"/>
        <w:spacing w:before="0" w:beforeAutospacing="1" w:after="0" w:afterAutospacing="1" w:line="560" w:lineRule="atLeast"/>
        <w:ind w:left="0" w:right="0" w:firstLine="640"/>
        <w:jc w:val="both"/>
      </w:pPr>
      <w:r>
        <w:rPr>
          <w:rFonts w:hint="default" w:ascii="Times New Roman" w:hAnsi="Times New Roman" w:cs="Times New Roman"/>
          <w:sz w:val="32"/>
          <w:szCs w:val="32"/>
          <w:lang w:val="en-US"/>
        </w:rPr>
        <w:t>2.</w:t>
      </w:r>
      <w:r>
        <w:rPr>
          <w:sz w:val="32"/>
          <w:szCs w:val="32"/>
        </w:rPr>
        <w:t>公务用车购置及运行维护费支出</w:t>
      </w:r>
      <w:r>
        <w:rPr>
          <w:rFonts w:hint="default" w:ascii="Times New Roman" w:hAnsi="Times New Roman" w:cs="Times New Roman"/>
          <w:sz w:val="32"/>
          <w:szCs w:val="32"/>
          <w:u w:val="single"/>
          <w:lang w:val="en-US"/>
        </w:rPr>
        <w:t>1.00</w:t>
      </w:r>
      <w:r>
        <w:rPr>
          <w:sz w:val="32"/>
          <w:szCs w:val="32"/>
        </w:rPr>
        <w:t>万元。其中：</w:t>
      </w:r>
    </w:p>
    <w:p>
      <w:pPr>
        <w:keepNext w:val="0"/>
        <w:keepLines w:val="0"/>
        <w:widowControl/>
        <w:suppressLineNumbers w:val="0"/>
        <w:spacing w:before="0" w:beforeAutospacing="1" w:after="0" w:afterAutospacing="1" w:line="560" w:lineRule="atLeast"/>
        <w:ind w:left="0" w:right="0" w:firstLine="640"/>
        <w:jc w:val="both"/>
      </w:pPr>
      <w:r>
        <w:rPr>
          <w:sz w:val="32"/>
          <w:szCs w:val="32"/>
        </w:rPr>
        <w:t>（</w:t>
      </w:r>
      <w:r>
        <w:rPr>
          <w:rFonts w:hint="default" w:ascii="Times New Roman" w:hAnsi="Times New Roman" w:cs="Times New Roman"/>
          <w:sz w:val="32"/>
          <w:szCs w:val="32"/>
          <w:lang w:val="en-US"/>
        </w:rPr>
        <w:t>1</w:t>
      </w:r>
      <w:r>
        <w:rPr>
          <w:sz w:val="32"/>
          <w:szCs w:val="32"/>
        </w:rPr>
        <w:t>）公务用车购置支出</w:t>
      </w:r>
      <w:r>
        <w:rPr>
          <w:rFonts w:hint="default" w:ascii="Times New Roman" w:hAnsi="Times New Roman" w:cs="Times New Roman"/>
          <w:sz w:val="32"/>
          <w:szCs w:val="32"/>
          <w:u w:val="single"/>
          <w:lang w:val="en-US"/>
        </w:rPr>
        <w:t>0.00</w:t>
      </w:r>
      <w:r>
        <w:rPr>
          <w:sz w:val="32"/>
          <w:szCs w:val="32"/>
        </w:rPr>
        <w:t>万元。本年度使用财政拨款购置公务用车</w:t>
      </w:r>
      <w:r>
        <w:rPr>
          <w:rFonts w:hint="default" w:ascii="Times New Roman" w:hAnsi="Times New Roman" w:cs="Times New Roman"/>
          <w:sz w:val="32"/>
          <w:szCs w:val="32"/>
          <w:u w:val="single"/>
          <w:lang w:val="en-US"/>
        </w:rPr>
        <w:t>0</w:t>
      </w:r>
      <w:r>
        <w:rPr>
          <w:sz w:val="32"/>
          <w:szCs w:val="32"/>
        </w:rPr>
        <w:t>辆，开支内容：</w:t>
      </w:r>
      <w:r>
        <w:rPr>
          <w:rFonts w:hint="eastAsia"/>
          <w:sz w:val="32"/>
          <w:szCs w:val="32"/>
          <w:lang w:val="en-US" w:eastAsia="zh-CN"/>
        </w:rPr>
        <w:t>无此项内容</w:t>
      </w:r>
      <w:r>
        <w:rPr>
          <w:sz w:val="32"/>
          <w:szCs w:val="32"/>
        </w:rPr>
        <w:t>。与上年决算相比，增加（减少）</w:t>
      </w:r>
      <w:r>
        <w:rPr>
          <w:rFonts w:hint="default" w:ascii="Times New Roman" w:hAnsi="Times New Roman" w:cs="Times New Roman"/>
          <w:sz w:val="32"/>
          <w:szCs w:val="32"/>
          <w:u w:val="single"/>
          <w:lang w:val="en-US"/>
        </w:rPr>
        <w:t>0.00</w:t>
      </w:r>
      <w:r>
        <w:rPr>
          <w:sz w:val="32"/>
          <w:szCs w:val="32"/>
        </w:rPr>
        <w:t>万元，增长（减少）</w:t>
      </w:r>
      <w:r>
        <w:rPr>
          <w:rFonts w:hint="default" w:ascii="Times New Roman" w:hAnsi="Times New Roman" w:cs="Times New Roman"/>
          <w:sz w:val="32"/>
          <w:szCs w:val="32"/>
          <w:u w:val="single"/>
          <w:lang w:val="en-US"/>
        </w:rPr>
        <w:t>0.00</w:t>
      </w:r>
      <w:r>
        <w:rPr>
          <w:sz w:val="32"/>
          <w:szCs w:val="32"/>
          <w:lang w:val="en-US"/>
        </w:rPr>
        <w:t>%</w:t>
      </w:r>
      <w:r>
        <w:rPr>
          <w:sz w:val="32"/>
          <w:szCs w:val="32"/>
        </w:rPr>
        <w:t>，变动原因</w:t>
      </w:r>
      <w:r>
        <w:rPr>
          <w:rFonts w:hint="eastAsia"/>
          <w:sz w:val="32"/>
          <w:szCs w:val="32"/>
          <w:lang w:eastAsia="zh-CN"/>
        </w:rPr>
        <w:t>：</w:t>
      </w:r>
      <w:r>
        <w:rPr>
          <w:rFonts w:hint="eastAsia"/>
          <w:sz w:val="32"/>
          <w:szCs w:val="32"/>
          <w:lang w:val="en-US" w:eastAsia="zh-CN"/>
        </w:rPr>
        <w:t>无此项内容</w:t>
      </w:r>
      <w:r>
        <w:rPr>
          <w:sz w:val="32"/>
          <w:szCs w:val="32"/>
        </w:rPr>
        <w:t>。</w:t>
      </w:r>
    </w:p>
    <w:p>
      <w:pPr>
        <w:keepNext w:val="0"/>
        <w:keepLines w:val="0"/>
        <w:widowControl/>
        <w:suppressLineNumbers w:val="0"/>
        <w:spacing w:before="0" w:beforeAutospacing="1" w:after="0" w:afterAutospacing="1" w:line="560" w:lineRule="atLeast"/>
        <w:ind w:left="0" w:right="0" w:firstLine="640"/>
        <w:jc w:val="both"/>
      </w:pPr>
      <w:r>
        <w:rPr>
          <w:sz w:val="32"/>
          <w:szCs w:val="32"/>
        </w:rPr>
        <w:t>（</w:t>
      </w:r>
      <w:r>
        <w:rPr>
          <w:rFonts w:hint="default" w:ascii="Times New Roman" w:hAnsi="Times New Roman" w:cs="Times New Roman"/>
          <w:sz w:val="32"/>
          <w:szCs w:val="32"/>
          <w:lang w:val="en-US"/>
        </w:rPr>
        <w:t>2</w:t>
      </w:r>
      <w:r>
        <w:rPr>
          <w:sz w:val="32"/>
          <w:szCs w:val="32"/>
        </w:rPr>
        <w:t>）公务用车运行维护费支出</w:t>
      </w:r>
      <w:r>
        <w:rPr>
          <w:rFonts w:hint="default" w:ascii="Times New Roman" w:hAnsi="Times New Roman" w:cs="Times New Roman"/>
          <w:sz w:val="32"/>
          <w:szCs w:val="32"/>
          <w:u w:val="single"/>
          <w:lang w:val="en-US"/>
        </w:rPr>
        <w:t>1.00</w:t>
      </w:r>
      <w:r>
        <w:rPr>
          <w:sz w:val="32"/>
          <w:szCs w:val="32"/>
        </w:rPr>
        <w:t>万元。公务用车运行维护费主要用于按规定保留的公务用车的燃料费、维修费、过桥过路费、保险费、安全奖励费用等支出。截至</w:t>
      </w:r>
      <w:r>
        <w:rPr>
          <w:rFonts w:hint="default" w:ascii="Times New Roman" w:hAnsi="Times New Roman" w:cs="Times New Roman"/>
          <w:sz w:val="32"/>
          <w:szCs w:val="32"/>
          <w:lang w:val="en-US"/>
        </w:rPr>
        <w:t>2022</w:t>
      </w:r>
      <w:r>
        <w:rPr>
          <w:sz w:val="32"/>
          <w:szCs w:val="32"/>
        </w:rPr>
        <w:t>年</w:t>
      </w:r>
      <w:r>
        <w:rPr>
          <w:rFonts w:hint="default" w:ascii="Times New Roman" w:hAnsi="Times New Roman" w:cs="Times New Roman"/>
          <w:sz w:val="32"/>
          <w:szCs w:val="32"/>
          <w:lang w:val="en-US"/>
        </w:rPr>
        <w:t>12</w:t>
      </w:r>
      <w:r>
        <w:rPr>
          <w:sz w:val="32"/>
          <w:szCs w:val="32"/>
        </w:rPr>
        <w:t>月</w:t>
      </w:r>
      <w:r>
        <w:rPr>
          <w:rFonts w:hint="default" w:ascii="Times New Roman" w:hAnsi="Times New Roman" w:cs="Times New Roman"/>
          <w:sz w:val="32"/>
          <w:szCs w:val="32"/>
          <w:lang w:val="en-US"/>
        </w:rPr>
        <w:t>31</w:t>
      </w:r>
      <w:r>
        <w:rPr>
          <w:sz w:val="32"/>
          <w:szCs w:val="32"/>
        </w:rPr>
        <w:t>日，使用财政拨款开支的公务用车保有量为</w:t>
      </w:r>
      <w:r>
        <w:rPr>
          <w:rFonts w:hint="default" w:ascii="Times New Roman" w:hAnsi="Times New Roman" w:cs="Times New Roman"/>
          <w:sz w:val="32"/>
          <w:szCs w:val="32"/>
          <w:u w:val="single"/>
          <w:lang w:val="en-US"/>
        </w:rPr>
        <w:t>1</w:t>
      </w:r>
      <w:r>
        <w:rPr>
          <w:sz w:val="32"/>
          <w:szCs w:val="32"/>
        </w:rPr>
        <w:t>辆。与上年决算相比，增加</w:t>
      </w:r>
      <w:r>
        <w:rPr>
          <w:rFonts w:hint="default" w:ascii="Times New Roman" w:hAnsi="Times New Roman" w:cs="Times New Roman"/>
          <w:sz w:val="32"/>
          <w:szCs w:val="32"/>
          <w:u w:val="single"/>
          <w:lang w:val="en-US"/>
        </w:rPr>
        <w:t>0.00</w:t>
      </w:r>
      <w:r>
        <w:rPr>
          <w:sz w:val="32"/>
          <w:szCs w:val="32"/>
        </w:rPr>
        <w:t>万元，增长</w:t>
      </w:r>
      <w:r>
        <w:rPr>
          <w:rFonts w:hint="default" w:ascii="Times New Roman" w:hAnsi="Times New Roman" w:cs="Times New Roman"/>
          <w:sz w:val="30"/>
          <w:szCs w:val="30"/>
          <w:u w:val="single"/>
        </w:rPr>
        <w:t>0.00</w:t>
      </w:r>
      <w:r>
        <w:rPr>
          <w:sz w:val="32"/>
          <w:szCs w:val="32"/>
          <w:lang w:val="en-US"/>
        </w:rPr>
        <w:t>%</w:t>
      </w:r>
      <w:r>
        <w:rPr>
          <w:sz w:val="32"/>
          <w:szCs w:val="32"/>
        </w:rPr>
        <w:t>，变动原因</w:t>
      </w:r>
      <w:r>
        <w:rPr>
          <w:rFonts w:hint="eastAsia"/>
          <w:sz w:val="32"/>
          <w:szCs w:val="32"/>
          <w:lang w:eastAsia="zh-CN"/>
        </w:rPr>
        <w:t>：</w:t>
      </w:r>
      <w:r>
        <w:rPr>
          <w:rFonts w:hint="eastAsia"/>
          <w:sz w:val="32"/>
          <w:szCs w:val="32"/>
          <w:lang w:val="en-US" w:eastAsia="zh-CN"/>
        </w:rPr>
        <w:t>无变动</w:t>
      </w:r>
      <w:r>
        <w:rPr>
          <w:sz w:val="32"/>
          <w:szCs w:val="32"/>
        </w:rPr>
        <w:t>。</w:t>
      </w:r>
    </w:p>
    <w:p>
      <w:pPr>
        <w:keepNext w:val="0"/>
        <w:keepLines w:val="0"/>
        <w:widowControl/>
        <w:suppressLineNumbers w:val="0"/>
        <w:spacing w:before="0" w:beforeAutospacing="1" w:after="0" w:afterAutospacing="1" w:line="560" w:lineRule="atLeast"/>
        <w:ind w:left="0" w:right="0" w:firstLine="640"/>
        <w:jc w:val="both"/>
      </w:pPr>
      <w:r>
        <w:rPr>
          <w:rFonts w:hint="default" w:ascii="Times New Roman" w:hAnsi="Times New Roman" w:cs="Times New Roman"/>
          <w:sz w:val="32"/>
          <w:szCs w:val="32"/>
          <w:lang w:val="en-US"/>
        </w:rPr>
        <w:t>3.</w:t>
      </w:r>
      <w:r>
        <w:rPr>
          <w:sz w:val="32"/>
          <w:szCs w:val="32"/>
        </w:rPr>
        <w:t>公务接待费支出</w:t>
      </w:r>
      <w:r>
        <w:rPr>
          <w:rFonts w:hint="default" w:ascii="Times New Roman" w:hAnsi="Times New Roman" w:cs="Times New Roman"/>
          <w:sz w:val="32"/>
          <w:szCs w:val="32"/>
          <w:u w:val="single"/>
          <w:lang w:val="en-US"/>
        </w:rPr>
        <w:t>0.00</w:t>
      </w:r>
      <w:r>
        <w:rPr>
          <w:sz w:val="32"/>
          <w:szCs w:val="32"/>
        </w:rPr>
        <w:t>万元。其中：国内公务接待支出</w:t>
      </w:r>
      <w:r>
        <w:rPr>
          <w:rFonts w:hint="default" w:ascii="Times New Roman" w:hAnsi="Times New Roman" w:cs="Times New Roman"/>
          <w:sz w:val="32"/>
          <w:szCs w:val="32"/>
          <w:u w:val="single"/>
          <w:lang w:val="en-US"/>
        </w:rPr>
        <w:t>0.00</w:t>
      </w:r>
      <w:r>
        <w:rPr>
          <w:sz w:val="32"/>
          <w:szCs w:val="32"/>
        </w:rPr>
        <w:t>万元，接待</w:t>
      </w:r>
      <w:r>
        <w:rPr>
          <w:rFonts w:hint="default" w:ascii="Times New Roman" w:hAnsi="Times New Roman" w:cs="Times New Roman"/>
          <w:sz w:val="32"/>
          <w:szCs w:val="32"/>
          <w:u w:val="single"/>
          <w:lang w:val="en-US"/>
        </w:rPr>
        <w:t>0</w:t>
      </w:r>
      <w:r>
        <w:rPr>
          <w:sz w:val="32"/>
          <w:szCs w:val="32"/>
        </w:rPr>
        <w:t>批次，</w:t>
      </w:r>
      <w:r>
        <w:rPr>
          <w:rFonts w:hint="default" w:ascii="Times New Roman" w:hAnsi="Times New Roman" w:cs="Times New Roman"/>
          <w:sz w:val="32"/>
          <w:szCs w:val="32"/>
          <w:u w:val="single"/>
          <w:lang w:val="en-US"/>
        </w:rPr>
        <w:t>0</w:t>
      </w:r>
      <w:r>
        <w:rPr>
          <w:sz w:val="32"/>
          <w:szCs w:val="32"/>
        </w:rPr>
        <w:t>人次，开支内容：</w:t>
      </w:r>
      <w:r>
        <w:rPr>
          <w:rFonts w:hint="eastAsia"/>
          <w:sz w:val="32"/>
          <w:szCs w:val="32"/>
          <w:lang w:val="en-US" w:eastAsia="zh-CN"/>
        </w:rPr>
        <w:t>无此项内容</w:t>
      </w:r>
      <w:r>
        <w:rPr>
          <w:sz w:val="32"/>
          <w:szCs w:val="32"/>
        </w:rPr>
        <w:t>；国（境）外公务接待支出</w:t>
      </w:r>
      <w:r>
        <w:rPr>
          <w:rFonts w:hint="default" w:ascii="Times New Roman" w:hAnsi="Times New Roman" w:cs="Times New Roman"/>
          <w:sz w:val="32"/>
          <w:szCs w:val="32"/>
          <w:u w:val="single"/>
          <w:lang w:val="en-US"/>
        </w:rPr>
        <w:t>0.00</w:t>
      </w:r>
      <w:r>
        <w:rPr>
          <w:sz w:val="32"/>
          <w:szCs w:val="32"/>
        </w:rPr>
        <w:t>万元，接待</w:t>
      </w:r>
      <w:r>
        <w:rPr>
          <w:rFonts w:hint="default" w:ascii="Times New Roman" w:hAnsi="Times New Roman" w:cs="Times New Roman"/>
          <w:sz w:val="32"/>
          <w:szCs w:val="32"/>
          <w:u w:val="single"/>
          <w:lang w:val="en-US"/>
        </w:rPr>
        <w:t>0</w:t>
      </w:r>
      <w:r>
        <w:rPr>
          <w:sz w:val="32"/>
          <w:szCs w:val="32"/>
        </w:rPr>
        <w:t>批次，</w:t>
      </w:r>
      <w:r>
        <w:rPr>
          <w:rFonts w:hint="default" w:ascii="Times New Roman" w:hAnsi="Times New Roman" w:cs="Times New Roman"/>
          <w:sz w:val="32"/>
          <w:szCs w:val="32"/>
          <w:u w:val="single"/>
          <w:lang w:val="en-US"/>
        </w:rPr>
        <w:t>0</w:t>
      </w:r>
      <w:r>
        <w:rPr>
          <w:sz w:val="32"/>
          <w:szCs w:val="32"/>
        </w:rPr>
        <w:t>人次，开支内容：</w:t>
      </w:r>
      <w:r>
        <w:rPr>
          <w:rFonts w:hint="eastAsia"/>
          <w:sz w:val="32"/>
          <w:szCs w:val="32"/>
          <w:lang w:val="en-US" w:eastAsia="zh-CN"/>
        </w:rPr>
        <w:t>无此项内容</w:t>
      </w:r>
      <w:r>
        <w:rPr>
          <w:sz w:val="32"/>
          <w:szCs w:val="32"/>
        </w:rPr>
        <w:t>。与上年决算相比，增加（减少）</w:t>
      </w:r>
      <w:r>
        <w:rPr>
          <w:rFonts w:hint="default" w:ascii="Times New Roman" w:hAnsi="Times New Roman" w:cs="Times New Roman"/>
          <w:sz w:val="32"/>
          <w:szCs w:val="32"/>
          <w:u w:val="single"/>
          <w:lang w:val="en-US"/>
        </w:rPr>
        <w:t>0.00</w:t>
      </w:r>
      <w:r>
        <w:rPr>
          <w:sz w:val="32"/>
          <w:szCs w:val="32"/>
        </w:rPr>
        <w:t>万元，增长（减少）</w:t>
      </w:r>
      <w:r>
        <w:rPr>
          <w:rFonts w:hint="default" w:ascii="Times New Roman" w:hAnsi="Times New Roman" w:cs="Times New Roman"/>
          <w:sz w:val="32"/>
          <w:szCs w:val="32"/>
          <w:u w:val="single"/>
          <w:lang w:val="en-US"/>
        </w:rPr>
        <w:t>0.00</w:t>
      </w:r>
      <w:r>
        <w:rPr>
          <w:sz w:val="32"/>
          <w:szCs w:val="32"/>
          <w:lang w:val="en-US"/>
        </w:rPr>
        <w:t>%</w:t>
      </w:r>
      <w:r>
        <w:rPr>
          <w:sz w:val="32"/>
          <w:szCs w:val="32"/>
        </w:rPr>
        <w:t>，变动原因：</w:t>
      </w:r>
      <w:r>
        <w:rPr>
          <w:rFonts w:hint="eastAsia"/>
          <w:sz w:val="32"/>
          <w:szCs w:val="32"/>
          <w:lang w:val="en-US" w:eastAsia="zh-CN"/>
        </w:rPr>
        <w:t>无此项内容</w:t>
      </w:r>
      <w:r>
        <w:rPr>
          <w:sz w:val="32"/>
          <w:szCs w:val="32"/>
        </w:rPr>
        <w:t>。</w:t>
      </w:r>
    </w:p>
    <w:p>
      <w:pPr>
        <w:keepNext w:val="0"/>
        <w:keepLines w:val="0"/>
        <w:widowControl/>
        <w:suppressLineNumbers w:val="0"/>
        <w:spacing w:before="0" w:beforeAutospacing="1" w:after="0" w:afterAutospacing="1" w:line="600" w:lineRule="atLeast"/>
        <w:ind w:left="0" w:right="0" w:firstLine="643"/>
        <w:jc w:val="both"/>
      </w:pPr>
      <w:r>
        <w:rPr>
          <w:rFonts w:hint="eastAsia" w:ascii="黑体" w:hAnsi="宋体" w:eastAsia="黑体" w:cs="黑体"/>
          <w:b/>
          <w:bCs/>
          <w:color w:val="000000"/>
          <w:sz w:val="32"/>
          <w:szCs w:val="32"/>
        </w:rPr>
        <w:t>九、</w:t>
      </w:r>
      <w:r>
        <w:rPr>
          <w:rFonts w:hint="eastAsia" w:ascii="黑体" w:hAnsi="宋体" w:eastAsia="黑体" w:cs="黑体"/>
          <w:b/>
          <w:bCs/>
          <w:sz w:val="32"/>
          <w:szCs w:val="32"/>
        </w:rPr>
        <w:t>政府性基金预算财政拨款支出决算情况说明</w:t>
      </w:r>
    </w:p>
    <w:p>
      <w:pPr>
        <w:keepNext w:val="0"/>
        <w:keepLines w:val="0"/>
        <w:widowControl/>
        <w:suppressLineNumbers w:val="0"/>
        <w:spacing w:before="0" w:beforeAutospacing="1" w:after="0" w:afterAutospacing="1" w:line="560" w:lineRule="atLeast"/>
        <w:ind w:left="0" w:right="0" w:firstLine="640"/>
        <w:jc w:val="both"/>
      </w:pPr>
      <w:r>
        <w:rPr>
          <w:sz w:val="32"/>
          <w:szCs w:val="32"/>
          <w:lang w:val="en-US"/>
        </w:rPr>
        <w:t>锡林郭勒盟安神医院单位2022</w:t>
      </w:r>
      <w:r>
        <w:rPr>
          <w:sz w:val="32"/>
          <w:szCs w:val="32"/>
        </w:rPr>
        <w:t>年度政府性基金支出决算</w:t>
      </w:r>
      <w:r>
        <w:rPr>
          <w:rFonts w:hint="default" w:ascii="Times New Roman" w:hAnsi="Times New Roman" w:cs="Times New Roman"/>
          <w:sz w:val="32"/>
          <w:szCs w:val="32"/>
          <w:u w:val="single"/>
          <w:lang w:val="en-US"/>
        </w:rPr>
        <w:t>16.81</w:t>
      </w:r>
      <w:r>
        <w:rPr>
          <w:sz w:val="32"/>
          <w:szCs w:val="32"/>
        </w:rPr>
        <w:t>万元。与上年决算相比，减少</w:t>
      </w:r>
      <w:r>
        <w:rPr>
          <w:rFonts w:hint="default" w:ascii="Times New Roman" w:hAnsi="Times New Roman" w:cs="Times New Roman"/>
          <w:sz w:val="32"/>
          <w:szCs w:val="32"/>
          <w:u w:val="single"/>
          <w:lang w:val="en-US"/>
        </w:rPr>
        <w:t>2,063.58</w:t>
      </w:r>
      <w:r>
        <w:rPr>
          <w:sz w:val="32"/>
          <w:szCs w:val="32"/>
        </w:rPr>
        <w:t>万元，减少</w:t>
      </w:r>
      <w:r>
        <w:rPr>
          <w:rFonts w:hint="default" w:ascii="Times New Roman" w:hAnsi="Times New Roman" w:cs="Times New Roman"/>
          <w:sz w:val="32"/>
          <w:szCs w:val="32"/>
          <w:u w:val="single"/>
          <w:lang w:val="en-US"/>
        </w:rPr>
        <w:t>99.19</w:t>
      </w:r>
      <w:r>
        <w:rPr>
          <w:sz w:val="32"/>
          <w:szCs w:val="32"/>
          <w:lang w:val="en-US"/>
        </w:rPr>
        <w:t>%</w:t>
      </w:r>
      <w:r>
        <w:rPr>
          <w:sz w:val="32"/>
          <w:szCs w:val="32"/>
        </w:rPr>
        <w:t>，变动原因：</w:t>
      </w:r>
      <w:r>
        <w:rPr>
          <w:rFonts w:hint="eastAsia"/>
          <w:sz w:val="32"/>
          <w:szCs w:val="32"/>
          <w:lang w:val="en-US" w:eastAsia="zh-CN"/>
        </w:rPr>
        <w:t>本年度较上年度减少专项债券资金收入</w:t>
      </w:r>
      <w:r>
        <w:rPr>
          <w:sz w:val="32"/>
          <w:szCs w:val="32"/>
        </w:rPr>
        <w:t>。其中：</w:t>
      </w:r>
    </w:p>
    <w:p>
      <w:pPr>
        <w:keepNext w:val="0"/>
        <w:keepLines w:val="0"/>
        <w:widowControl/>
        <w:suppressLineNumbers w:val="0"/>
        <w:spacing w:before="0" w:beforeAutospacing="1" w:after="0" w:afterAutospacing="1" w:line="560" w:lineRule="atLeast"/>
        <w:ind w:left="0" w:right="0" w:firstLine="640"/>
        <w:jc w:val="both"/>
      </w:pPr>
      <w:r>
        <w:rPr>
          <w:sz w:val="32"/>
          <w:szCs w:val="32"/>
        </w:rPr>
        <w:t>（一）</w:t>
      </w:r>
      <w:r>
        <w:rPr>
          <w:rFonts w:hint="eastAsia"/>
          <w:sz w:val="32"/>
          <w:szCs w:val="32"/>
          <w:lang w:val="en-US" w:eastAsia="zh-CN"/>
        </w:rPr>
        <w:t>其他支出</w:t>
      </w:r>
      <w:r>
        <w:rPr>
          <w:sz w:val="32"/>
          <w:szCs w:val="32"/>
        </w:rPr>
        <w:t>（类）</w:t>
      </w:r>
      <w:r>
        <w:rPr>
          <w:rFonts w:hint="eastAsia"/>
          <w:sz w:val="32"/>
          <w:szCs w:val="32"/>
          <w:lang w:val="en-US" w:eastAsia="zh-CN"/>
        </w:rPr>
        <w:t>彩票公益金安排的支出</w:t>
      </w:r>
      <w:r>
        <w:rPr>
          <w:sz w:val="32"/>
          <w:szCs w:val="32"/>
        </w:rPr>
        <w:t>（款）</w:t>
      </w:r>
      <w:r>
        <w:rPr>
          <w:rFonts w:hint="eastAsia"/>
          <w:sz w:val="32"/>
          <w:szCs w:val="32"/>
          <w:lang w:val="en-US" w:eastAsia="zh-CN"/>
        </w:rPr>
        <w:t>用于社会福利的彩票公益支出</w:t>
      </w:r>
      <w:r>
        <w:rPr>
          <w:sz w:val="32"/>
          <w:szCs w:val="32"/>
        </w:rPr>
        <w:t>（项）支出</w:t>
      </w:r>
      <w:r>
        <w:rPr>
          <w:rFonts w:hint="default" w:ascii="Times New Roman" w:hAnsi="Times New Roman" w:cs="Times New Roman"/>
          <w:sz w:val="32"/>
          <w:szCs w:val="32"/>
          <w:u w:val="single"/>
          <w:lang w:val="en-US"/>
        </w:rPr>
        <w:t>   </w:t>
      </w:r>
      <w:r>
        <w:rPr>
          <w:rFonts w:hint="eastAsia" w:ascii="Times New Roman" w:hAnsi="Times New Roman" w:cs="Times New Roman"/>
          <w:sz w:val="32"/>
          <w:szCs w:val="32"/>
          <w:u w:val="single"/>
          <w:lang w:val="en-US" w:eastAsia="zh-CN"/>
        </w:rPr>
        <w:t>16.81</w:t>
      </w:r>
      <w:r>
        <w:rPr>
          <w:rFonts w:hint="default" w:ascii="Times New Roman" w:hAnsi="Times New Roman" w:cs="Times New Roman"/>
          <w:sz w:val="32"/>
          <w:szCs w:val="32"/>
          <w:u w:val="single"/>
          <w:lang w:val="en-US"/>
        </w:rPr>
        <w:t xml:space="preserve"> </w:t>
      </w:r>
      <w:r>
        <w:rPr>
          <w:sz w:val="32"/>
          <w:szCs w:val="32"/>
        </w:rPr>
        <w:t>万元，主要用于</w:t>
      </w:r>
      <w:r>
        <w:rPr>
          <w:rFonts w:hint="eastAsia"/>
          <w:sz w:val="32"/>
          <w:szCs w:val="32"/>
          <w:lang w:val="en-US" w:eastAsia="zh-CN"/>
        </w:rPr>
        <w:t>支付康复医学中心项目前期费用15.2万元及旧病房楼维修改造质保金1.61万元</w:t>
      </w:r>
      <w:r>
        <w:rPr>
          <w:sz w:val="32"/>
          <w:szCs w:val="32"/>
        </w:rPr>
        <w:t>。</w:t>
      </w:r>
    </w:p>
    <w:p>
      <w:pPr>
        <w:keepNext w:val="0"/>
        <w:keepLines w:val="0"/>
        <w:widowControl/>
        <w:suppressLineNumbers w:val="0"/>
        <w:spacing w:before="0" w:beforeAutospacing="1" w:after="0" w:afterAutospacing="1" w:line="600" w:lineRule="atLeast"/>
        <w:ind w:left="0" w:right="0" w:firstLine="643"/>
        <w:jc w:val="both"/>
      </w:pPr>
      <w:r>
        <w:rPr>
          <w:rFonts w:hint="eastAsia" w:ascii="黑体" w:hAnsi="宋体" w:eastAsia="黑体" w:cs="黑体"/>
          <w:b/>
          <w:bCs/>
          <w:color w:val="000000"/>
          <w:sz w:val="32"/>
          <w:szCs w:val="32"/>
        </w:rPr>
        <w:t>十、</w:t>
      </w:r>
      <w:r>
        <w:rPr>
          <w:rFonts w:hint="eastAsia" w:ascii="黑体" w:hAnsi="宋体" w:eastAsia="黑体" w:cs="黑体"/>
          <w:b/>
          <w:bCs/>
          <w:sz w:val="32"/>
          <w:szCs w:val="32"/>
        </w:rPr>
        <w:t>国有资本经营预算财政拨款支出决算情况说明</w:t>
      </w:r>
    </w:p>
    <w:p>
      <w:pPr>
        <w:keepNext w:val="0"/>
        <w:keepLines w:val="0"/>
        <w:widowControl/>
        <w:suppressLineNumbers w:val="0"/>
        <w:spacing w:before="0" w:beforeAutospacing="1" w:after="0" w:afterAutospacing="1" w:line="560" w:lineRule="atLeast"/>
        <w:ind w:left="0" w:right="0" w:firstLine="640"/>
        <w:jc w:val="both"/>
      </w:pPr>
      <w:r>
        <w:rPr>
          <w:sz w:val="32"/>
          <w:szCs w:val="32"/>
          <w:lang w:val="en-US"/>
        </w:rPr>
        <w:t>锡林郭勒盟安神医院单位2022</w:t>
      </w:r>
      <w:r>
        <w:rPr>
          <w:sz w:val="32"/>
          <w:szCs w:val="32"/>
        </w:rPr>
        <w:t>年度国有资本经营预算支出决算</w:t>
      </w:r>
      <w:r>
        <w:rPr>
          <w:rFonts w:hint="default" w:ascii="Times New Roman" w:hAnsi="Times New Roman" w:cs="Times New Roman"/>
          <w:sz w:val="32"/>
          <w:szCs w:val="32"/>
          <w:u w:val="single"/>
          <w:lang w:val="en-US"/>
        </w:rPr>
        <w:t>0.00</w:t>
      </w:r>
      <w:r>
        <w:rPr>
          <w:sz w:val="32"/>
          <w:szCs w:val="32"/>
        </w:rPr>
        <w:t>万元。与上年决算相比，增加（减少）</w:t>
      </w:r>
      <w:r>
        <w:rPr>
          <w:rFonts w:hint="default" w:ascii="Times New Roman" w:hAnsi="Times New Roman" w:cs="Times New Roman"/>
          <w:sz w:val="32"/>
          <w:szCs w:val="32"/>
          <w:u w:val="single"/>
          <w:lang w:val="en-US"/>
        </w:rPr>
        <w:t>0.00</w:t>
      </w:r>
      <w:r>
        <w:rPr>
          <w:sz w:val="32"/>
          <w:szCs w:val="32"/>
        </w:rPr>
        <w:t>万元，增长（减少）</w:t>
      </w:r>
      <w:r>
        <w:rPr>
          <w:rFonts w:hint="default" w:ascii="Times New Roman" w:hAnsi="Times New Roman" w:cs="Times New Roman"/>
          <w:sz w:val="32"/>
          <w:szCs w:val="32"/>
          <w:u w:val="single"/>
          <w:lang w:val="en-US"/>
        </w:rPr>
        <w:t>0.00</w:t>
      </w:r>
      <w:r>
        <w:rPr>
          <w:sz w:val="32"/>
          <w:szCs w:val="32"/>
          <w:lang w:val="en-US"/>
        </w:rPr>
        <w:t>%</w:t>
      </w:r>
      <w:r>
        <w:rPr>
          <w:sz w:val="32"/>
          <w:szCs w:val="32"/>
        </w:rPr>
        <w:t>，变动原因：本年无国有资本经营预算财政拨款收、支、余。</w:t>
      </w:r>
    </w:p>
    <w:p>
      <w:pPr>
        <w:keepNext/>
        <w:keepLines w:val="0"/>
        <w:widowControl/>
        <w:suppressLineNumbers w:val="0"/>
        <w:spacing w:before="0" w:beforeAutospacing="1" w:after="0" w:afterAutospacing="1" w:line="600" w:lineRule="atLeast"/>
        <w:ind w:left="0" w:right="0" w:firstLine="643"/>
        <w:jc w:val="both"/>
      </w:pPr>
      <w:r>
        <w:rPr>
          <w:rFonts w:hint="eastAsia" w:ascii="黑体" w:hAnsi="宋体" w:eastAsia="黑体" w:cs="黑体"/>
          <w:b/>
          <w:bCs/>
          <w:color w:val="000000"/>
          <w:sz w:val="32"/>
          <w:szCs w:val="32"/>
        </w:rPr>
        <w:t>十一、</w:t>
      </w:r>
      <w:r>
        <w:rPr>
          <w:rFonts w:hint="eastAsia" w:ascii="黑体" w:hAnsi="宋体" w:eastAsia="黑体" w:cs="黑体"/>
          <w:b/>
          <w:bCs/>
          <w:sz w:val="32"/>
          <w:szCs w:val="32"/>
        </w:rPr>
        <w:t>项目支出决算情况说明</w:t>
      </w:r>
    </w:p>
    <w:p>
      <w:pPr>
        <w:keepNext w:val="0"/>
        <w:keepLines w:val="0"/>
        <w:widowControl/>
        <w:suppressLineNumbers w:val="0"/>
        <w:spacing w:before="0" w:beforeAutospacing="1" w:after="0" w:afterAutospacing="1" w:line="560" w:lineRule="atLeast"/>
        <w:ind w:left="0" w:right="0" w:firstLine="640"/>
        <w:jc w:val="both"/>
      </w:pPr>
      <w:r>
        <w:rPr>
          <w:sz w:val="32"/>
          <w:szCs w:val="32"/>
          <w:lang w:val="en-US"/>
        </w:rPr>
        <w:t>锡林郭勒盟安神医院单位2022</w:t>
      </w:r>
      <w:r>
        <w:rPr>
          <w:sz w:val="32"/>
          <w:szCs w:val="32"/>
        </w:rPr>
        <w:t>年度预算安排项目</w:t>
      </w:r>
      <w:r>
        <w:rPr>
          <w:rFonts w:hint="default" w:ascii="Times New Roman" w:hAnsi="Times New Roman" w:cs="Times New Roman"/>
          <w:sz w:val="32"/>
          <w:szCs w:val="32"/>
          <w:u w:val="single"/>
          <w:lang w:val="en-US"/>
        </w:rPr>
        <w:t>      </w:t>
      </w:r>
      <w:r>
        <w:rPr>
          <w:rFonts w:hint="eastAsia" w:ascii="Times New Roman" w:hAnsi="Times New Roman" w:cs="Times New Roman"/>
          <w:sz w:val="32"/>
          <w:szCs w:val="32"/>
          <w:u w:val="single"/>
          <w:lang w:val="en-US" w:eastAsia="zh-CN"/>
        </w:rPr>
        <w:t>7</w:t>
      </w:r>
      <w:r>
        <w:rPr>
          <w:rFonts w:hint="default" w:ascii="Times New Roman" w:hAnsi="Times New Roman" w:cs="Times New Roman"/>
          <w:sz w:val="32"/>
          <w:szCs w:val="32"/>
          <w:u w:val="single"/>
          <w:lang w:val="en-US"/>
        </w:rPr>
        <w:t xml:space="preserve">   </w:t>
      </w:r>
      <w:r>
        <w:rPr>
          <w:sz w:val="32"/>
          <w:szCs w:val="32"/>
        </w:rPr>
        <w:t>个，实施项目</w:t>
      </w:r>
      <w:r>
        <w:rPr>
          <w:rFonts w:hint="default" w:ascii="Times New Roman" w:hAnsi="Times New Roman" w:cs="Times New Roman"/>
          <w:sz w:val="32"/>
          <w:szCs w:val="32"/>
          <w:u w:val="single"/>
          <w:lang w:val="en-US"/>
        </w:rPr>
        <w:t>   </w:t>
      </w:r>
      <w:r>
        <w:rPr>
          <w:rFonts w:hint="eastAsia" w:ascii="Times New Roman" w:hAnsi="Times New Roman" w:cs="Times New Roman"/>
          <w:sz w:val="32"/>
          <w:szCs w:val="32"/>
          <w:u w:val="single"/>
          <w:lang w:val="en-US" w:eastAsia="zh-CN"/>
        </w:rPr>
        <w:t>7</w:t>
      </w:r>
      <w:r>
        <w:rPr>
          <w:rFonts w:hint="default" w:ascii="Times New Roman" w:hAnsi="Times New Roman" w:cs="Times New Roman"/>
          <w:sz w:val="32"/>
          <w:szCs w:val="32"/>
          <w:u w:val="single"/>
          <w:lang w:val="en-US"/>
        </w:rPr>
        <w:t xml:space="preserve"> </w:t>
      </w:r>
      <w:r>
        <w:rPr>
          <w:sz w:val="32"/>
          <w:szCs w:val="32"/>
        </w:rPr>
        <w:t>个，完成项目</w:t>
      </w:r>
      <w:r>
        <w:rPr>
          <w:rFonts w:hint="default" w:ascii="Times New Roman" w:hAnsi="Times New Roman" w:cs="Times New Roman"/>
          <w:sz w:val="32"/>
          <w:szCs w:val="32"/>
          <w:u w:val="single"/>
          <w:lang w:val="en-US"/>
        </w:rPr>
        <w:t>       </w:t>
      </w:r>
      <w:r>
        <w:rPr>
          <w:rFonts w:hint="eastAsia" w:ascii="Times New Roman" w:hAnsi="Times New Roman" w:cs="Times New Roman"/>
          <w:sz w:val="32"/>
          <w:szCs w:val="32"/>
          <w:u w:val="single"/>
          <w:lang w:val="en-US" w:eastAsia="zh-CN"/>
        </w:rPr>
        <w:t>7</w:t>
      </w:r>
      <w:r>
        <w:rPr>
          <w:rFonts w:hint="default" w:ascii="Times New Roman" w:hAnsi="Times New Roman" w:cs="Times New Roman"/>
          <w:sz w:val="32"/>
          <w:szCs w:val="32"/>
          <w:u w:val="single"/>
          <w:lang w:val="en-US"/>
        </w:rPr>
        <w:t xml:space="preserve">   </w:t>
      </w:r>
      <w:r>
        <w:rPr>
          <w:sz w:val="32"/>
          <w:szCs w:val="32"/>
        </w:rPr>
        <w:t>个，项目支出总金额</w:t>
      </w:r>
      <w:r>
        <w:rPr>
          <w:rFonts w:hint="default" w:ascii="Times New Roman" w:hAnsi="Times New Roman" w:cs="Times New Roman"/>
          <w:sz w:val="32"/>
          <w:szCs w:val="32"/>
          <w:u w:val="single"/>
          <w:lang w:val="en-US"/>
        </w:rPr>
        <w:t>105.58</w:t>
      </w:r>
      <w:r>
        <w:rPr>
          <w:sz w:val="32"/>
          <w:szCs w:val="32"/>
        </w:rPr>
        <w:t>万元。资金来源包括年初结转结余</w:t>
      </w:r>
      <w:r>
        <w:rPr>
          <w:rFonts w:hint="default" w:ascii="Times New Roman" w:hAnsi="Times New Roman" w:cs="Times New Roman"/>
          <w:sz w:val="32"/>
          <w:szCs w:val="32"/>
          <w:u w:val="single"/>
          <w:lang w:val="en-US"/>
        </w:rPr>
        <w:t>0.00</w:t>
      </w:r>
      <w:r>
        <w:rPr>
          <w:sz w:val="32"/>
          <w:szCs w:val="32"/>
        </w:rPr>
        <w:t>万元，本年财政拨款金额</w:t>
      </w:r>
      <w:r>
        <w:rPr>
          <w:rFonts w:hint="default" w:ascii="Times New Roman" w:hAnsi="Times New Roman" w:cs="Times New Roman"/>
          <w:sz w:val="32"/>
          <w:szCs w:val="32"/>
          <w:u w:val="single"/>
          <w:lang w:val="en-US"/>
        </w:rPr>
        <w:t>105.58</w:t>
      </w:r>
      <w:r>
        <w:rPr>
          <w:sz w:val="32"/>
          <w:szCs w:val="32"/>
        </w:rPr>
        <w:t>万元，本年其他资金</w:t>
      </w:r>
      <w:r>
        <w:rPr>
          <w:rFonts w:hint="default" w:ascii="Times New Roman" w:hAnsi="Times New Roman" w:cs="Times New Roman"/>
          <w:sz w:val="32"/>
          <w:szCs w:val="32"/>
          <w:u w:val="single"/>
          <w:lang w:val="en-US"/>
        </w:rPr>
        <w:t>0.00</w:t>
      </w:r>
      <w:r>
        <w:rPr>
          <w:sz w:val="32"/>
          <w:szCs w:val="32"/>
        </w:rPr>
        <w:t>万元。</w:t>
      </w:r>
    </w:p>
    <w:p>
      <w:pPr>
        <w:keepNext w:val="0"/>
        <w:keepLines w:val="0"/>
        <w:widowControl/>
        <w:suppressLineNumbers w:val="0"/>
        <w:spacing w:before="0" w:beforeAutospacing="1" w:after="0" w:afterAutospacing="1" w:line="600" w:lineRule="atLeast"/>
        <w:ind w:left="0" w:right="0" w:firstLine="643"/>
        <w:jc w:val="both"/>
      </w:pPr>
      <w:r>
        <w:rPr>
          <w:rFonts w:hint="eastAsia" w:ascii="黑体" w:hAnsi="宋体" w:eastAsia="黑体" w:cs="黑体"/>
          <w:b/>
          <w:bCs/>
          <w:color w:val="000000"/>
          <w:sz w:val="32"/>
          <w:szCs w:val="32"/>
        </w:rPr>
        <w:t>十二、</w:t>
      </w:r>
      <w:r>
        <w:rPr>
          <w:rFonts w:hint="eastAsia" w:ascii="黑体" w:hAnsi="宋体" w:eastAsia="黑体" w:cs="黑体"/>
          <w:b/>
          <w:bCs/>
          <w:sz w:val="32"/>
          <w:szCs w:val="32"/>
        </w:rPr>
        <w:t>机构运行经费支出决算情况说明</w:t>
      </w:r>
    </w:p>
    <w:p>
      <w:pPr>
        <w:keepNext w:val="0"/>
        <w:keepLines w:val="0"/>
        <w:widowControl/>
        <w:suppressLineNumbers w:val="0"/>
        <w:spacing w:before="0" w:beforeAutospacing="1" w:after="0" w:afterAutospacing="1" w:line="560" w:lineRule="atLeast"/>
        <w:ind w:left="0" w:right="0" w:firstLine="640"/>
        <w:jc w:val="both"/>
      </w:pPr>
      <w:r>
        <w:rPr>
          <w:sz w:val="32"/>
          <w:szCs w:val="32"/>
          <w:lang w:val="en-US"/>
        </w:rPr>
        <w:t>锡林郭勒盟安神医院单位2022</w:t>
      </w:r>
      <w:r>
        <w:rPr>
          <w:sz w:val="32"/>
          <w:szCs w:val="32"/>
        </w:rPr>
        <w:t>年度机构运行经费支出决算</w:t>
      </w:r>
      <w:r>
        <w:rPr>
          <w:rFonts w:hint="default" w:ascii="Times New Roman" w:hAnsi="Times New Roman" w:cs="Times New Roman"/>
          <w:sz w:val="32"/>
          <w:szCs w:val="32"/>
          <w:u w:val="single"/>
          <w:lang w:val="en-US"/>
        </w:rPr>
        <w:t>162.47</w:t>
      </w:r>
      <w:r>
        <w:rPr>
          <w:sz w:val="32"/>
          <w:szCs w:val="32"/>
        </w:rPr>
        <w:t>万元。比上年决算相比，减少</w:t>
      </w:r>
      <w:r>
        <w:rPr>
          <w:rFonts w:hint="default" w:ascii="Times New Roman" w:hAnsi="Times New Roman" w:cs="Times New Roman"/>
          <w:sz w:val="32"/>
          <w:szCs w:val="32"/>
          <w:u w:val="single"/>
          <w:lang w:val="en-US"/>
        </w:rPr>
        <w:t>18.28</w:t>
      </w:r>
      <w:r>
        <w:rPr>
          <w:sz w:val="32"/>
          <w:szCs w:val="32"/>
        </w:rPr>
        <w:t>万元，减少</w:t>
      </w:r>
      <w:r>
        <w:rPr>
          <w:rFonts w:hint="default" w:ascii="Times New Roman" w:hAnsi="Times New Roman" w:cs="Times New Roman"/>
          <w:sz w:val="32"/>
          <w:szCs w:val="32"/>
          <w:u w:val="single"/>
          <w:lang w:val="en-US"/>
        </w:rPr>
        <w:t>10.11</w:t>
      </w:r>
      <w:r>
        <w:rPr>
          <w:sz w:val="32"/>
          <w:szCs w:val="32"/>
          <w:lang w:val="en-US"/>
        </w:rPr>
        <w:t>%</w:t>
      </w:r>
      <w:r>
        <w:rPr>
          <w:sz w:val="32"/>
          <w:szCs w:val="32"/>
        </w:rPr>
        <w:t>，变动原因：</w:t>
      </w:r>
      <w:r>
        <w:rPr>
          <w:rFonts w:hint="eastAsia"/>
          <w:sz w:val="32"/>
          <w:szCs w:val="32"/>
          <w:lang w:val="en-US" w:eastAsia="zh-CN"/>
        </w:rPr>
        <w:t>本年度响应国家号召历行勤俭节约</w:t>
      </w:r>
      <w:r>
        <w:rPr>
          <w:sz w:val="32"/>
          <w:szCs w:val="32"/>
        </w:rPr>
        <w:t>。</w:t>
      </w:r>
    </w:p>
    <w:p>
      <w:pPr>
        <w:keepNext/>
        <w:keepLines w:val="0"/>
        <w:widowControl/>
        <w:suppressLineNumbers w:val="0"/>
        <w:spacing w:before="0" w:beforeAutospacing="1" w:after="0" w:afterAutospacing="1" w:line="600" w:lineRule="atLeast"/>
        <w:ind w:left="0" w:right="0" w:firstLine="643"/>
        <w:jc w:val="both"/>
        <w:rPr>
          <w:rFonts w:hint="eastAsia" w:ascii="黑体" w:hAnsi="宋体" w:eastAsia="黑体" w:cs="黑体"/>
          <w:b/>
          <w:bCs/>
          <w:color w:val="000000"/>
          <w:sz w:val="32"/>
          <w:szCs w:val="32"/>
          <w:highlight w:val="none"/>
        </w:rPr>
      </w:pPr>
      <w:r>
        <w:rPr>
          <w:rFonts w:hint="eastAsia" w:ascii="黑体" w:hAnsi="宋体" w:eastAsia="黑体" w:cs="黑体"/>
          <w:b/>
          <w:bCs/>
          <w:color w:val="000000"/>
          <w:sz w:val="32"/>
          <w:szCs w:val="32"/>
          <w:highlight w:val="none"/>
        </w:rPr>
        <w:t>十三、政府采购支出决算情况说明</w:t>
      </w:r>
    </w:p>
    <w:p>
      <w:pPr>
        <w:keepNext w:val="0"/>
        <w:keepLines w:val="0"/>
        <w:widowControl/>
        <w:suppressLineNumbers w:val="0"/>
        <w:spacing w:before="0" w:beforeAutospacing="1" w:after="0" w:afterAutospacing="1" w:line="560" w:lineRule="atLeast"/>
        <w:ind w:left="0" w:right="0" w:firstLine="640"/>
        <w:jc w:val="both"/>
        <w:rPr>
          <w:rFonts w:hint="eastAsia"/>
          <w:sz w:val="32"/>
          <w:szCs w:val="32"/>
          <w:lang w:val="en-US"/>
        </w:rPr>
      </w:pPr>
      <w:r>
        <w:rPr>
          <w:rFonts w:hint="eastAsia"/>
          <w:sz w:val="32"/>
          <w:szCs w:val="32"/>
          <w:lang w:val="en-US"/>
        </w:rPr>
        <w:t>锡林郭勒盟安神医院单位2022年度政府采购支出总额483.09万元，其中：政府采购货物支出74.34万元、政府采购工程支出0.00万元、政府采购服务支出408.76万元。授予中小企业合同金额480.72万元，占政府采购支出总额的99.51%，其中：授予小微企业合同金额480.72万元，占授予中小企业合同金额的100%；货物采购授予中小企业合同金额占货物支出合同金额的96.80%，工程采购授予中小企业合同金额占工程支出合同金额的</w:t>
      </w:r>
      <w:r>
        <w:rPr>
          <w:rFonts w:hint="eastAsia"/>
          <w:sz w:val="32"/>
          <w:szCs w:val="32"/>
          <w:lang w:val="en-US" w:eastAsia="zh-CN"/>
        </w:rPr>
        <w:t>0</w:t>
      </w:r>
      <w:r>
        <w:rPr>
          <w:rFonts w:hint="eastAsia"/>
          <w:sz w:val="32"/>
          <w:szCs w:val="32"/>
          <w:lang w:val="en-US"/>
        </w:rPr>
        <w:t xml:space="preserve"> %，服务采购授予中小企业合同金额占服务支出合同金额的100%。</w:t>
      </w:r>
      <w:bookmarkStart w:id="0" w:name="_GoBack"/>
      <w:bookmarkEnd w:id="0"/>
    </w:p>
    <w:p>
      <w:pPr>
        <w:keepNext/>
        <w:keepLines w:val="0"/>
        <w:widowControl/>
        <w:suppressLineNumbers w:val="0"/>
        <w:spacing w:before="0" w:beforeAutospacing="1" w:after="0" w:afterAutospacing="1" w:line="600" w:lineRule="atLeast"/>
        <w:ind w:left="0" w:right="0" w:firstLine="643"/>
        <w:jc w:val="both"/>
      </w:pPr>
      <w:r>
        <w:rPr>
          <w:rFonts w:hint="eastAsia" w:ascii="黑体" w:hAnsi="宋体" w:eastAsia="黑体" w:cs="黑体"/>
          <w:b/>
          <w:bCs/>
          <w:color w:val="000000"/>
          <w:sz w:val="32"/>
          <w:szCs w:val="32"/>
        </w:rPr>
        <w:t>十四、</w:t>
      </w:r>
      <w:r>
        <w:rPr>
          <w:rFonts w:hint="eastAsia" w:ascii="黑体" w:hAnsi="宋体" w:eastAsia="黑体" w:cs="黑体"/>
          <w:b/>
          <w:bCs/>
          <w:sz w:val="32"/>
          <w:szCs w:val="32"/>
        </w:rPr>
        <w:t>国有资产占用情况说明</w:t>
      </w:r>
    </w:p>
    <w:p>
      <w:pPr>
        <w:keepNext w:val="0"/>
        <w:keepLines w:val="0"/>
        <w:widowControl/>
        <w:suppressLineNumbers w:val="0"/>
        <w:spacing w:before="0" w:beforeAutospacing="1" w:after="0" w:afterAutospacing="1" w:line="560" w:lineRule="atLeast"/>
        <w:ind w:left="0" w:right="0" w:firstLine="640"/>
        <w:jc w:val="both"/>
      </w:pPr>
      <w:r>
        <w:rPr>
          <w:sz w:val="32"/>
          <w:szCs w:val="32"/>
          <w:lang w:val="en-US"/>
        </w:rPr>
        <w:t>锡林郭勒盟安神医院单位</w:t>
      </w:r>
      <w:r>
        <w:rPr>
          <w:sz w:val="32"/>
          <w:szCs w:val="32"/>
        </w:rPr>
        <w:t>截至</w:t>
      </w:r>
      <w:r>
        <w:rPr>
          <w:rFonts w:hint="default" w:ascii="Times New Roman" w:hAnsi="Times New Roman" w:cs="Times New Roman"/>
          <w:sz w:val="32"/>
          <w:szCs w:val="32"/>
          <w:lang w:val="en-US"/>
        </w:rPr>
        <w:t>2022</w:t>
      </w:r>
      <w:r>
        <w:rPr>
          <w:sz w:val="32"/>
          <w:szCs w:val="32"/>
        </w:rPr>
        <w:t>年</w:t>
      </w:r>
      <w:r>
        <w:rPr>
          <w:rFonts w:hint="default" w:ascii="Times New Roman" w:hAnsi="Times New Roman" w:cs="Times New Roman"/>
          <w:sz w:val="32"/>
          <w:szCs w:val="32"/>
          <w:lang w:val="en-US"/>
        </w:rPr>
        <w:t>12</w:t>
      </w:r>
      <w:r>
        <w:rPr>
          <w:sz w:val="32"/>
          <w:szCs w:val="32"/>
        </w:rPr>
        <w:t>月</w:t>
      </w:r>
      <w:r>
        <w:rPr>
          <w:rFonts w:hint="default" w:ascii="Times New Roman" w:hAnsi="Times New Roman" w:cs="Times New Roman"/>
          <w:sz w:val="32"/>
          <w:szCs w:val="32"/>
          <w:lang w:val="en-US"/>
        </w:rPr>
        <w:t>31</w:t>
      </w:r>
      <w:r>
        <w:rPr>
          <w:sz w:val="32"/>
          <w:szCs w:val="32"/>
        </w:rPr>
        <w:t>日，本</w:t>
      </w:r>
      <w:r>
        <w:rPr>
          <w:sz w:val="32"/>
          <w:szCs w:val="32"/>
          <w:lang w:val="en-US"/>
        </w:rPr>
        <w:t>单位</w:t>
      </w:r>
      <w:r>
        <w:rPr>
          <w:sz w:val="32"/>
          <w:szCs w:val="32"/>
        </w:rPr>
        <w:t>共有车辆</w:t>
      </w:r>
      <w:r>
        <w:rPr>
          <w:rFonts w:hint="default" w:ascii="Times New Roman" w:hAnsi="Times New Roman" w:cs="Times New Roman"/>
          <w:sz w:val="32"/>
          <w:szCs w:val="32"/>
          <w:u w:val="single"/>
          <w:lang w:val="en-US"/>
        </w:rPr>
        <w:t>1</w:t>
      </w:r>
      <w:r>
        <w:rPr>
          <w:sz w:val="32"/>
          <w:szCs w:val="32"/>
        </w:rPr>
        <w:t>辆，其中：副部（省）级及以上领导用车</w:t>
      </w:r>
      <w:r>
        <w:rPr>
          <w:rFonts w:hint="default" w:ascii="Times New Roman" w:hAnsi="Times New Roman" w:cs="Times New Roman"/>
          <w:sz w:val="32"/>
          <w:szCs w:val="32"/>
          <w:u w:val="single"/>
          <w:lang w:val="en-US"/>
        </w:rPr>
        <w:t>0</w:t>
      </w:r>
      <w:r>
        <w:rPr>
          <w:sz w:val="32"/>
          <w:szCs w:val="32"/>
        </w:rPr>
        <w:t>辆、主要领导干部用车</w:t>
      </w:r>
      <w:r>
        <w:rPr>
          <w:rFonts w:hint="default" w:ascii="Times New Roman" w:hAnsi="Times New Roman" w:cs="Times New Roman"/>
          <w:sz w:val="32"/>
          <w:szCs w:val="32"/>
          <w:u w:val="single"/>
          <w:lang w:val="en-US"/>
        </w:rPr>
        <w:t>0</w:t>
      </w:r>
      <w:r>
        <w:rPr>
          <w:sz w:val="32"/>
          <w:szCs w:val="32"/>
        </w:rPr>
        <w:t>辆、机要通信用车</w:t>
      </w:r>
      <w:r>
        <w:rPr>
          <w:rFonts w:hint="default" w:ascii="Times New Roman" w:hAnsi="Times New Roman" w:cs="Times New Roman"/>
          <w:sz w:val="32"/>
          <w:szCs w:val="32"/>
          <w:u w:val="single"/>
          <w:lang w:val="en-US"/>
        </w:rPr>
        <w:t>0</w:t>
      </w:r>
      <w:r>
        <w:rPr>
          <w:sz w:val="32"/>
          <w:szCs w:val="32"/>
        </w:rPr>
        <w:t>辆、应急保障用车</w:t>
      </w:r>
      <w:r>
        <w:rPr>
          <w:rFonts w:hint="default" w:ascii="Times New Roman" w:hAnsi="Times New Roman" w:cs="Times New Roman"/>
          <w:sz w:val="32"/>
          <w:szCs w:val="32"/>
          <w:u w:val="single"/>
          <w:lang w:val="en-US"/>
        </w:rPr>
        <w:t>0</w:t>
      </w:r>
      <w:r>
        <w:rPr>
          <w:sz w:val="32"/>
          <w:szCs w:val="32"/>
        </w:rPr>
        <w:t>辆、执法执勤用车</w:t>
      </w:r>
      <w:r>
        <w:rPr>
          <w:rFonts w:hint="default" w:ascii="Times New Roman" w:hAnsi="Times New Roman" w:cs="Times New Roman"/>
          <w:sz w:val="32"/>
          <w:szCs w:val="32"/>
          <w:u w:val="single"/>
          <w:lang w:val="en-US"/>
        </w:rPr>
        <w:t>0</w:t>
      </w:r>
      <w:r>
        <w:rPr>
          <w:sz w:val="32"/>
          <w:szCs w:val="32"/>
        </w:rPr>
        <w:t>辆、特种专业技术用车</w:t>
      </w:r>
      <w:r>
        <w:rPr>
          <w:rFonts w:hint="default" w:ascii="Times New Roman" w:hAnsi="Times New Roman" w:cs="Times New Roman"/>
          <w:sz w:val="32"/>
          <w:szCs w:val="32"/>
          <w:u w:val="single"/>
          <w:lang w:val="en-US"/>
        </w:rPr>
        <w:t>0</w:t>
      </w:r>
      <w:r>
        <w:rPr>
          <w:sz w:val="32"/>
          <w:szCs w:val="32"/>
        </w:rPr>
        <w:t>辆、离退休干部用车</w:t>
      </w:r>
      <w:r>
        <w:rPr>
          <w:rFonts w:hint="default" w:ascii="Times New Roman" w:hAnsi="Times New Roman" w:cs="Times New Roman"/>
          <w:sz w:val="32"/>
          <w:szCs w:val="32"/>
          <w:u w:val="single"/>
          <w:lang w:val="en-US"/>
        </w:rPr>
        <w:t>0</w:t>
      </w:r>
      <w:r>
        <w:rPr>
          <w:sz w:val="32"/>
          <w:szCs w:val="32"/>
        </w:rPr>
        <w:t>辆，其他用车</w:t>
      </w:r>
      <w:r>
        <w:rPr>
          <w:rFonts w:hint="default" w:ascii="Times New Roman" w:hAnsi="Times New Roman" w:cs="Times New Roman"/>
          <w:sz w:val="32"/>
          <w:szCs w:val="32"/>
          <w:u w:val="single"/>
          <w:lang w:val="en-US"/>
        </w:rPr>
        <w:t>1</w:t>
      </w:r>
      <w:r>
        <w:rPr>
          <w:sz w:val="32"/>
          <w:szCs w:val="32"/>
        </w:rPr>
        <w:t>辆；单价</w:t>
      </w:r>
      <w:r>
        <w:rPr>
          <w:rFonts w:hint="default" w:ascii="Times New Roman" w:hAnsi="Times New Roman" w:cs="Times New Roman"/>
          <w:sz w:val="32"/>
          <w:szCs w:val="32"/>
          <w:lang w:val="en-US"/>
        </w:rPr>
        <w:t>100</w:t>
      </w:r>
      <w:r>
        <w:rPr>
          <w:sz w:val="32"/>
          <w:szCs w:val="32"/>
        </w:rPr>
        <w:t>万元（含）以上的设备（不含车辆）</w:t>
      </w:r>
      <w:r>
        <w:rPr>
          <w:rFonts w:hint="default" w:ascii="Times New Roman" w:hAnsi="Times New Roman" w:cs="Times New Roman"/>
          <w:sz w:val="32"/>
          <w:szCs w:val="32"/>
          <w:u w:val="single"/>
          <w:lang w:val="en-US"/>
        </w:rPr>
        <w:t>7</w:t>
      </w:r>
      <w:r>
        <w:rPr>
          <w:sz w:val="32"/>
          <w:szCs w:val="32"/>
        </w:rPr>
        <w:t>台（套）。</w:t>
      </w:r>
    </w:p>
    <w:p>
      <w:pPr>
        <w:keepNext w:val="0"/>
        <w:keepLines w:val="0"/>
        <w:widowControl/>
        <w:suppressLineNumbers w:val="0"/>
        <w:spacing w:before="0" w:beforeAutospacing="1" w:after="0" w:afterAutospacing="1" w:line="600" w:lineRule="atLeast"/>
        <w:ind w:left="0" w:right="0" w:firstLine="643"/>
        <w:jc w:val="both"/>
      </w:pPr>
      <w:r>
        <w:rPr>
          <w:rFonts w:hint="eastAsia" w:ascii="黑体" w:hAnsi="宋体" w:eastAsia="黑体" w:cs="黑体"/>
          <w:b/>
          <w:bCs/>
          <w:color w:val="000000"/>
          <w:sz w:val="32"/>
          <w:szCs w:val="32"/>
        </w:rPr>
        <w:t>十五、</w:t>
      </w:r>
      <w:r>
        <w:rPr>
          <w:rFonts w:hint="eastAsia" w:ascii="黑体" w:hAnsi="宋体" w:eastAsia="黑体" w:cs="黑体"/>
          <w:b/>
          <w:bCs/>
          <w:sz w:val="32"/>
          <w:szCs w:val="32"/>
        </w:rPr>
        <w:t>预算绩效情况说明</w:t>
      </w:r>
    </w:p>
    <w:p>
      <w:pPr>
        <w:keepNext w:val="0"/>
        <w:keepLines w:val="0"/>
        <w:widowControl/>
        <w:suppressLineNumbers w:val="0"/>
        <w:spacing w:before="0" w:beforeAutospacing="1" w:after="0" w:afterAutospacing="1"/>
        <w:ind w:left="0" w:right="0" w:firstLine="643"/>
        <w:jc w:val="both"/>
      </w:pPr>
      <w:r>
        <w:rPr>
          <w:rFonts w:hint="eastAsia" w:ascii="楷体" w:hAnsi="楷体" w:eastAsia="楷体" w:cs="楷体"/>
          <w:b/>
          <w:bCs/>
          <w:sz w:val="32"/>
          <w:szCs w:val="32"/>
        </w:rPr>
        <w:t>（一）预算绩效管理工作开展情况。</w:t>
      </w:r>
    </w:p>
    <w:p>
      <w:pPr>
        <w:keepNext w:val="0"/>
        <w:keepLines w:val="0"/>
        <w:widowControl/>
        <w:suppressLineNumbers w:val="0"/>
        <w:spacing w:before="0" w:beforeAutospacing="1" w:after="0" w:afterAutospacing="1" w:line="560" w:lineRule="atLeast"/>
        <w:ind w:left="0" w:right="0" w:firstLine="640"/>
        <w:jc w:val="both"/>
      </w:pPr>
      <w:r>
        <w:rPr>
          <w:sz w:val="32"/>
          <w:szCs w:val="32"/>
          <w:lang w:val="en-US"/>
        </w:rPr>
        <w:t>锡林郭勒盟安神医院单位</w:t>
      </w:r>
      <w:r>
        <w:rPr>
          <w:sz w:val="32"/>
          <w:szCs w:val="32"/>
        </w:rPr>
        <w:t>根据预算绩效管理要求组织对</w:t>
      </w:r>
      <w:r>
        <w:rPr>
          <w:sz w:val="32"/>
          <w:szCs w:val="32"/>
          <w:lang w:val="en-US"/>
        </w:rPr>
        <w:t>2022</w:t>
      </w:r>
      <w:r>
        <w:rPr>
          <w:sz w:val="32"/>
          <w:szCs w:val="32"/>
        </w:rPr>
        <w:t>年一般公共预算项目支出全面开展绩效自评，其中一级项目</w:t>
      </w:r>
      <w:r>
        <w:rPr>
          <w:rFonts w:hint="default" w:ascii="Times New Roman" w:hAnsi="Times New Roman" w:cs="Times New Roman"/>
          <w:sz w:val="32"/>
          <w:szCs w:val="32"/>
          <w:u w:val="single"/>
          <w:lang w:val="en-US"/>
        </w:rPr>
        <w:t>  </w:t>
      </w:r>
      <w:r>
        <w:rPr>
          <w:rFonts w:hint="eastAsia" w:ascii="Times New Roman" w:hAnsi="Times New Roman" w:cs="Times New Roman"/>
          <w:sz w:val="32"/>
          <w:szCs w:val="32"/>
          <w:u w:val="single"/>
          <w:lang w:val="en-US" w:eastAsia="zh-CN"/>
        </w:rPr>
        <w:t>0</w:t>
      </w:r>
      <w:r>
        <w:rPr>
          <w:rFonts w:hint="default" w:ascii="Times New Roman" w:hAnsi="Times New Roman" w:cs="Times New Roman"/>
          <w:sz w:val="32"/>
          <w:szCs w:val="32"/>
          <w:u w:val="single"/>
          <w:lang w:val="en-US"/>
        </w:rPr>
        <w:t xml:space="preserve"> </w:t>
      </w:r>
      <w:r>
        <w:rPr>
          <w:sz w:val="32"/>
          <w:szCs w:val="32"/>
        </w:rPr>
        <w:t>个，二级项目</w:t>
      </w:r>
      <w:r>
        <w:rPr>
          <w:rFonts w:hint="default" w:ascii="Times New Roman" w:hAnsi="Times New Roman" w:cs="Times New Roman"/>
          <w:sz w:val="32"/>
          <w:szCs w:val="32"/>
          <w:u w:val="single"/>
          <w:lang w:val="en-US"/>
        </w:rPr>
        <w:t>  </w:t>
      </w:r>
      <w:r>
        <w:rPr>
          <w:rFonts w:hint="eastAsia" w:ascii="Times New Roman" w:hAnsi="Times New Roman" w:cs="Times New Roman"/>
          <w:sz w:val="32"/>
          <w:szCs w:val="32"/>
          <w:u w:val="single"/>
          <w:lang w:val="en-US" w:eastAsia="zh-CN"/>
        </w:rPr>
        <w:t>5</w:t>
      </w:r>
      <w:r>
        <w:rPr>
          <w:rFonts w:hint="default" w:ascii="Times New Roman" w:hAnsi="Times New Roman" w:cs="Times New Roman"/>
          <w:sz w:val="32"/>
          <w:szCs w:val="32"/>
          <w:u w:val="single"/>
          <w:lang w:val="en-US"/>
        </w:rPr>
        <w:t xml:space="preserve">  </w:t>
      </w:r>
      <w:r>
        <w:rPr>
          <w:sz w:val="32"/>
          <w:szCs w:val="32"/>
        </w:rPr>
        <w:t>个，共涉及资金</w:t>
      </w:r>
      <w:r>
        <w:rPr>
          <w:rFonts w:hint="default" w:ascii="Times New Roman" w:hAnsi="Times New Roman" w:cs="Times New Roman"/>
          <w:sz w:val="32"/>
          <w:szCs w:val="32"/>
          <w:u w:val="single"/>
          <w:lang w:val="en-US"/>
        </w:rPr>
        <w:t>88.77</w:t>
      </w:r>
      <w:r>
        <w:rPr>
          <w:sz w:val="32"/>
          <w:szCs w:val="32"/>
        </w:rPr>
        <w:t>万元，占一般公共预算项目支出总额的</w:t>
      </w:r>
      <w:r>
        <w:rPr>
          <w:rFonts w:hint="default" w:ascii="Times New Roman" w:hAnsi="Times New Roman" w:cs="Times New Roman"/>
          <w:sz w:val="32"/>
          <w:szCs w:val="32"/>
          <w:lang w:val="en-US"/>
        </w:rPr>
        <w:t>100</w:t>
      </w:r>
      <w:r>
        <w:rPr>
          <w:sz w:val="32"/>
          <w:szCs w:val="32"/>
          <w:lang w:val="en-US"/>
        </w:rPr>
        <w:t>%</w:t>
      </w:r>
      <w:r>
        <w:rPr>
          <w:sz w:val="32"/>
          <w:szCs w:val="32"/>
        </w:rPr>
        <w:t>；政府性基金预算项目</w:t>
      </w:r>
      <w:r>
        <w:rPr>
          <w:rFonts w:hint="default" w:ascii="Times New Roman" w:hAnsi="Times New Roman" w:cs="Times New Roman"/>
          <w:sz w:val="32"/>
          <w:szCs w:val="32"/>
          <w:u w:val="single"/>
          <w:lang w:val="en-US"/>
        </w:rPr>
        <w:t>   </w:t>
      </w:r>
      <w:r>
        <w:rPr>
          <w:rFonts w:hint="eastAsia" w:ascii="Times New Roman" w:hAnsi="Times New Roman" w:cs="Times New Roman"/>
          <w:sz w:val="32"/>
          <w:szCs w:val="32"/>
          <w:u w:val="single"/>
          <w:lang w:val="en-US" w:eastAsia="zh-CN"/>
        </w:rPr>
        <w:t>2</w:t>
      </w:r>
      <w:r>
        <w:rPr>
          <w:rFonts w:hint="default" w:ascii="Times New Roman" w:hAnsi="Times New Roman" w:cs="Times New Roman"/>
          <w:sz w:val="32"/>
          <w:szCs w:val="32"/>
          <w:u w:val="single"/>
          <w:lang w:val="en-US"/>
        </w:rPr>
        <w:t xml:space="preserve"> </w:t>
      </w:r>
      <w:r>
        <w:rPr>
          <w:sz w:val="32"/>
          <w:szCs w:val="32"/>
        </w:rPr>
        <w:t>个，其中，一级项目</w:t>
      </w:r>
      <w:r>
        <w:rPr>
          <w:rFonts w:hint="default" w:ascii="Times New Roman" w:hAnsi="Times New Roman" w:cs="Times New Roman"/>
          <w:sz w:val="32"/>
          <w:szCs w:val="32"/>
          <w:u w:val="single"/>
          <w:lang w:val="en-US"/>
        </w:rPr>
        <w:t> </w:t>
      </w:r>
      <w:r>
        <w:rPr>
          <w:rFonts w:hint="eastAsia" w:ascii="Times New Roman" w:hAnsi="Times New Roman" w:cs="Times New Roman"/>
          <w:sz w:val="32"/>
          <w:szCs w:val="32"/>
          <w:u w:val="single"/>
          <w:lang w:val="en-US" w:eastAsia="zh-CN"/>
        </w:rPr>
        <w:t>0</w:t>
      </w:r>
      <w:r>
        <w:rPr>
          <w:rFonts w:hint="default" w:ascii="Times New Roman" w:hAnsi="Times New Roman" w:cs="Times New Roman"/>
          <w:sz w:val="32"/>
          <w:szCs w:val="32"/>
          <w:u w:val="single"/>
          <w:lang w:val="en-US"/>
        </w:rPr>
        <w:t xml:space="preserve">   </w:t>
      </w:r>
      <w:r>
        <w:rPr>
          <w:sz w:val="32"/>
          <w:szCs w:val="32"/>
        </w:rPr>
        <w:t>个，二级项目</w:t>
      </w:r>
      <w:r>
        <w:rPr>
          <w:rFonts w:hint="default" w:ascii="Times New Roman" w:hAnsi="Times New Roman" w:cs="Times New Roman"/>
          <w:sz w:val="32"/>
          <w:szCs w:val="32"/>
          <w:u w:val="single"/>
          <w:lang w:val="en-US"/>
        </w:rPr>
        <w:t>  </w:t>
      </w:r>
      <w:r>
        <w:rPr>
          <w:rFonts w:hint="eastAsia" w:ascii="Times New Roman" w:hAnsi="Times New Roman" w:cs="Times New Roman"/>
          <w:sz w:val="32"/>
          <w:szCs w:val="32"/>
          <w:u w:val="single"/>
          <w:lang w:val="en-US" w:eastAsia="zh-CN"/>
        </w:rPr>
        <w:t>2</w:t>
      </w:r>
      <w:r>
        <w:rPr>
          <w:rFonts w:hint="default" w:ascii="Times New Roman" w:hAnsi="Times New Roman" w:cs="Times New Roman"/>
          <w:sz w:val="32"/>
          <w:szCs w:val="32"/>
          <w:u w:val="single"/>
          <w:lang w:val="en-US"/>
        </w:rPr>
        <w:t xml:space="preserve">  </w:t>
      </w:r>
      <w:r>
        <w:rPr>
          <w:sz w:val="32"/>
          <w:szCs w:val="32"/>
        </w:rPr>
        <w:t>个，共涉及资金</w:t>
      </w:r>
      <w:r>
        <w:rPr>
          <w:rFonts w:hint="default" w:ascii="Times New Roman" w:hAnsi="Times New Roman" w:cs="Times New Roman"/>
          <w:sz w:val="32"/>
          <w:szCs w:val="32"/>
          <w:u w:val="single"/>
          <w:lang w:val="en-US"/>
        </w:rPr>
        <w:t>16.81</w:t>
      </w:r>
      <w:r>
        <w:rPr>
          <w:sz w:val="32"/>
          <w:szCs w:val="32"/>
        </w:rPr>
        <w:t>万元，占应纳入绩效自评的政府性基金预算项目支出总额的</w:t>
      </w:r>
      <w:r>
        <w:rPr>
          <w:rFonts w:hint="default" w:ascii="Times New Roman" w:hAnsi="Times New Roman" w:cs="Times New Roman"/>
          <w:sz w:val="32"/>
          <w:szCs w:val="32"/>
          <w:lang w:val="en-US"/>
        </w:rPr>
        <w:t>100</w:t>
      </w:r>
      <w:r>
        <w:rPr>
          <w:sz w:val="32"/>
          <w:szCs w:val="32"/>
          <w:lang w:val="en-US"/>
        </w:rPr>
        <w:t>%</w:t>
      </w:r>
      <w:r>
        <w:rPr>
          <w:sz w:val="32"/>
          <w:szCs w:val="32"/>
        </w:rPr>
        <w:t>。</w:t>
      </w:r>
    </w:p>
    <w:p>
      <w:pPr>
        <w:keepNext w:val="0"/>
        <w:keepLines w:val="0"/>
        <w:widowControl/>
        <w:suppressLineNumbers w:val="0"/>
        <w:spacing w:before="0" w:beforeAutospacing="1" w:after="0" w:afterAutospacing="1" w:line="560" w:lineRule="atLeast"/>
        <w:ind w:left="0" w:right="0" w:firstLine="640"/>
        <w:jc w:val="both"/>
        <w:rPr>
          <w:rFonts w:hint="default" w:eastAsiaTheme="minorEastAsia"/>
          <w:lang w:val="en-US" w:eastAsia="zh-CN"/>
        </w:rPr>
      </w:pPr>
      <w:r>
        <w:rPr>
          <w:sz w:val="32"/>
          <w:szCs w:val="32"/>
        </w:rPr>
        <w:t>组织对</w:t>
      </w:r>
      <w:r>
        <w:rPr>
          <w:rFonts w:hint="default" w:ascii="Times New Roman" w:hAnsi="Times New Roman" w:cs="Times New Roman"/>
          <w:sz w:val="32"/>
          <w:szCs w:val="32"/>
          <w:lang w:val="en-US"/>
        </w:rPr>
        <w:t>“医疗服务与保障能力提升”</w:t>
      </w:r>
      <w:r>
        <w:rPr>
          <w:rFonts w:hint="eastAsia" w:ascii="Times New Roman" w:hAnsi="Times New Roman" w:cs="Times New Roman"/>
          <w:sz w:val="32"/>
          <w:szCs w:val="32"/>
          <w:lang w:val="en-US" w:eastAsia="zh-CN"/>
        </w:rPr>
        <w:t>项目</w:t>
      </w:r>
      <w:r>
        <w:rPr>
          <w:sz w:val="32"/>
          <w:szCs w:val="32"/>
        </w:rPr>
        <w:t>、</w:t>
      </w:r>
      <w:r>
        <w:rPr>
          <w:rFonts w:hint="default" w:ascii="Times New Roman" w:hAnsi="Times New Roman" w:cs="Times New Roman"/>
          <w:sz w:val="32"/>
          <w:szCs w:val="32"/>
          <w:lang w:val="en-US"/>
        </w:rPr>
        <w:t>“精神科医师转岗培训（21结转）”</w:t>
      </w:r>
      <w:r>
        <w:rPr>
          <w:rFonts w:hint="eastAsia" w:ascii="Times New Roman" w:hAnsi="Times New Roman" w:cs="Times New Roman"/>
          <w:sz w:val="32"/>
          <w:szCs w:val="32"/>
          <w:lang w:val="en-US" w:eastAsia="zh-CN"/>
        </w:rPr>
        <w:t>项目</w:t>
      </w:r>
      <w:r>
        <w:rPr>
          <w:sz w:val="32"/>
          <w:szCs w:val="32"/>
        </w:rPr>
        <w:t>、</w:t>
      </w:r>
      <w:r>
        <w:rPr>
          <w:rFonts w:hint="default" w:ascii="Times New Roman" w:hAnsi="Times New Roman" w:cs="Times New Roman"/>
          <w:sz w:val="32"/>
          <w:szCs w:val="32"/>
          <w:lang w:val="en-US"/>
        </w:rPr>
        <w:t>“ 精神卫生疾病防治”</w:t>
      </w:r>
      <w:r>
        <w:rPr>
          <w:rFonts w:hint="eastAsia" w:ascii="Times New Roman" w:hAnsi="Times New Roman" w:cs="Times New Roman"/>
          <w:sz w:val="32"/>
          <w:szCs w:val="32"/>
          <w:lang w:val="en-US" w:eastAsia="zh-CN"/>
        </w:rPr>
        <w:t>项目、“疫情防控保障资金”项目、“包联（小区）疫情防控经费”项目、“锡盟安神医院康复医学中心”项目、“旧病房楼维修改造质保金”项目</w:t>
      </w:r>
      <w:r>
        <w:rPr>
          <w:sz w:val="32"/>
          <w:szCs w:val="32"/>
        </w:rPr>
        <w:t>等</w:t>
      </w:r>
      <w:r>
        <w:rPr>
          <w:rFonts w:hint="default" w:ascii="Times New Roman" w:hAnsi="Times New Roman" w:cs="Times New Roman"/>
          <w:sz w:val="32"/>
          <w:szCs w:val="32"/>
          <w:u w:val="single"/>
          <w:lang w:val="en-US"/>
        </w:rPr>
        <w:t>  </w:t>
      </w:r>
      <w:r>
        <w:rPr>
          <w:rFonts w:hint="eastAsia" w:ascii="Times New Roman" w:hAnsi="Times New Roman" w:cs="Times New Roman"/>
          <w:sz w:val="32"/>
          <w:szCs w:val="32"/>
          <w:u w:val="single"/>
          <w:lang w:val="en-US" w:eastAsia="zh-CN"/>
        </w:rPr>
        <w:t>7</w:t>
      </w:r>
      <w:r>
        <w:rPr>
          <w:rFonts w:hint="default" w:ascii="Times New Roman" w:hAnsi="Times New Roman" w:cs="Times New Roman"/>
          <w:sz w:val="32"/>
          <w:szCs w:val="32"/>
          <w:u w:val="single"/>
          <w:lang w:val="en-US"/>
        </w:rPr>
        <w:t xml:space="preserve">  </w:t>
      </w:r>
      <w:r>
        <w:rPr>
          <w:sz w:val="32"/>
          <w:szCs w:val="32"/>
        </w:rPr>
        <w:t>个项目开展了</w:t>
      </w:r>
      <w:r>
        <w:rPr>
          <w:sz w:val="32"/>
          <w:szCs w:val="32"/>
          <w:lang w:val="en-US"/>
        </w:rPr>
        <w:t>单位</w:t>
      </w:r>
      <w:r>
        <w:rPr>
          <w:sz w:val="32"/>
          <w:szCs w:val="32"/>
        </w:rPr>
        <w:t>评价，涉及一般公共预算支出</w:t>
      </w:r>
      <w:r>
        <w:rPr>
          <w:rFonts w:hint="default" w:ascii="Times New Roman" w:hAnsi="Times New Roman" w:cs="Times New Roman"/>
          <w:sz w:val="32"/>
          <w:szCs w:val="32"/>
          <w:u w:val="single"/>
          <w:lang w:val="en-US"/>
        </w:rPr>
        <w:t>  </w:t>
      </w:r>
      <w:r>
        <w:rPr>
          <w:rFonts w:hint="eastAsia" w:ascii="Times New Roman" w:hAnsi="Times New Roman" w:cs="Times New Roman"/>
          <w:sz w:val="32"/>
          <w:szCs w:val="32"/>
          <w:u w:val="single"/>
          <w:lang w:val="en-US" w:eastAsia="zh-CN"/>
        </w:rPr>
        <w:t>88.77</w:t>
      </w:r>
      <w:r>
        <w:rPr>
          <w:rFonts w:hint="default" w:ascii="Times New Roman" w:hAnsi="Times New Roman" w:cs="Times New Roman"/>
          <w:sz w:val="32"/>
          <w:szCs w:val="32"/>
          <w:u w:val="single"/>
          <w:lang w:val="en-US"/>
        </w:rPr>
        <w:t xml:space="preserve">  </w:t>
      </w:r>
      <w:r>
        <w:rPr>
          <w:sz w:val="32"/>
          <w:szCs w:val="32"/>
        </w:rPr>
        <w:t>万元，政府性基金支出</w:t>
      </w:r>
      <w:r>
        <w:rPr>
          <w:rFonts w:hint="default" w:ascii="Times New Roman" w:hAnsi="Times New Roman" w:cs="Times New Roman"/>
          <w:sz w:val="32"/>
          <w:szCs w:val="32"/>
          <w:u w:val="single"/>
          <w:lang w:val="en-US"/>
        </w:rPr>
        <w:t>  </w:t>
      </w:r>
      <w:r>
        <w:rPr>
          <w:rFonts w:hint="eastAsia" w:ascii="Times New Roman" w:hAnsi="Times New Roman" w:cs="Times New Roman"/>
          <w:sz w:val="32"/>
          <w:szCs w:val="32"/>
          <w:u w:val="single"/>
          <w:lang w:val="en-US" w:eastAsia="zh-CN"/>
        </w:rPr>
        <w:t>16.81</w:t>
      </w:r>
      <w:r>
        <w:rPr>
          <w:rFonts w:hint="default" w:ascii="Times New Roman" w:hAnsi="Times New Roman" w:cs="Times New Roman"/>
          <w:sz w:val="32"/>
          <w:szCs w:val="32"/>
          <w:u w:val="single"/>
          <w:lang w:val="en-US"/>
        </w:rPr>
        <w:t xml:space="preserve">  </w:t>
      </w:r>
      <w:r>
        <w:rPr>
          <w:sz w:val="32"/>
          <w:szCs w:val="32"/>
        </w:rPr>
        <w:t>万元。其中，对</w:t>
      </w:r>
      <w:r>
        <w:rPr>
          <w:rFonts w:hint="default" w:ascii="Times New Roman" w:hAnsi="Times New Roman" w:cs="Times New Roman"/>
          <w:sz w:val="32"/>
          <w:szCs w:val="32"/>
          <w:lang w:val="en-US"/>
        </w:rPr>
        <w:t>“医疗服务与保障能力提升”</w:t>
      </w:r>
      <w:r>
        <w:rPr>
          <w:rFonts w:hint="eastAsia" w:ascii="Times New Roman" w:hAnsi="Times New Roman" w:cs="Times New Roman"/>
          <w:sz w:val="32"/>
          <w:szCs w:val="32"/>
          <w:lang w:val="en-US" w:eastAsia="zh-CN"/>
        </w:rPr>
        <w:t>项目</w:t>
      </w:r>
      <w:r>
        <w:rPr>
          <w:sz w:val="32"/>
          <w:szCs w:val="32"/>
        </w:rPr>
        <w:t>、</w:t>
      </w:r>
      <w:r>
        <w:rPr>
          <w:rFonts w:hint="default" w:ascii="Times New Roman" w:hAnsi="Times New Roman" w:cs="Times New Roman"/>
          <w:sz w:val="32"/>
          <w:szCs w:val="32"/>
          <w:lang w:val="en-US"/>
        </w:rPr>
        <w:t>“精神科医师转岗培训（21结转）”</w:t>
      </w:r>
      <w:r>
        <w:rPr>
          <w:rFonts w:hint="eastAsia" w:ascii="Times New Roman" w:hAnsi="Times New Roman" w:cs="Times New Roman"/>
          <w:sz w:val="32"/>
          <w:szCs w:val="32"/>
          <w:lang w:val="en-US" w:eastAsia="zh-CN"/>
        </w:rPr>
        <w:t>项目</w:t>
      </w:r>
      <w:r>
        <w:rPr>
          <w:sz w:val="32"/>
          <w:szCs w:val="32"/>
        </w:rPr>
        <w:t>、</w:t>
      </w:r>
      <w:r>
        <w:rPr>
          <w:rFonts w:hint="default" w:ascii="Times New Roman" w:hAnsi="Times New Roman" w:cs="Times New Roman"/>
          <w:sz w:val="32"/>
          <w:szCs w:val="32"/>
          <w:lang w:val="en-US"/>
        </w:rPr>
        <w:t>“ 精神卫生疾病防治”</w:t>
      </w:r>
      <w:r>
        <w:rPr>
          <w:rFonts w:hint="eastAsia" w:ascii="Times New Roman" w:hAnsi="Times New Roman" w:cs="Times New Roman"/>
          <w:sz w:val="32"/>
          <w:szCs w:val="32"/>
          <w:lang w:val="en-US" w:eastAsia="zh-CN"/>
        </w:rPr>
        <w:t>项目</w:t>
      </w:r>
      <w:r>
        <w:rPr>
          <w:sz w:val="32"/>
          <w:szCs w:val="32"/>
        </w:rPr>
        <w:t>等项目分别委托相关第三方机构开展绩效评价。从评价情况看，以上项目</w:t>
      </w:r>
      <w:r>
        <w:t>，</w:t>
      </w:r>
      <w:r>
        <w:rPr>
          <w:rFonts w:hint="default" w:ascii="Times New Roman" w:hAnsi="Times New Roman" w:cs="Times New Roman"/>
          <w:sz w:val="32"/>
          <w:szCs w:val="32"/>
          <w:lang w:val="en-US"/>
        </w:rPr>
        <w:t>以上项目</w:t>
      </w:r>
      <w:r>
        <w:rPr>
          <w:rFonts w:hint="eastAsia" w:ascii="Times New Roman" w:hAnsi="Times New Roman" w:cs="Times New Roman"/>
          <w:sz w:val="32"/>
          <w:szCs w:val="32"/>
          <w:lang w:val="en-US" w:eastAsia="zh-CN"/>
        </w:rPr>
        <w:t>基本可以</w:t>
      </w:r>
      <w:r>
        <w:rPr>
          <w:rFonts w:hint="default" w:ascii="Times New Roman" w:hAnsi="Times New Roman" w:cs="Times New Roman"/>
          <w:sz w:val="32"/>
          <w:szCs w:val="32"/>
          <w:lang w:val="en-US"/>
        </w:rPr>
        <w:t>完成年初绩效目标任务</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rPr>
        <w:t>部分项目因受疫情影响进度缓慢</w:t>
      </w:r>
      <w:r>
        <w:rPr>
          <w:rFonts w:hint="eastAsia" w:ascii="Times New Roman" w:hAnsi="Times New Roman" w:cs="Times New Roman"/>
          <w:sz w:val="32"/>
          <w:szCs w:val="32"/>
          <w:lang w:val="en-US" w:eastAsia="zh-CN"/>
        </w:rPr>
        <w:t>，资金支付不及时。</w:t>
      </w:r>
    </w:p>
    <w:p>
      <w:pPr>
        <w:keepNext w:val="0"/>
        <w:keepLines w:val="0"/>
        <w:widowControl/>
        <w:suppressLineNumbers w:val="0"/>
        <w:spacing w:before="0" w:beforeAutospacing="1" w:after="0" w:afterAutospacing="1"/>
        <w:ind w:left="0" w:right="0" w:firstLine="643"/>
        <w:jc w:val="both"/>
      </w:pPr>
      <w:r>
        <w:rPr>
          <w:rFonts w:hint="eastAsia" w:ascii="楷体" w:hAnsi="楷体" w:eastAsia="楷体" w:cs="楷体"/>
          <w:b/>
          <w:bCs/>
          <w:sz w:val="32"/>
          <w:szCs w:val="32"/>
        </w:rPr>
        <w:t>（二）</w:t>
      </w:r>
      <w:r>
        <w:rPr>
          <w:rFonts w:hint="eastAsia" w:ascii="楷体" w:hAnsi="楷体" w:eastAsia="楷体" w:cs="楷体"/>
          <w:b/>
          <w:bCs/>
          <w:sz w:val="32"/>
          <w:szCs w:val="32"/>
          <w:lang w:val="en-US"/>
        </w:rPr>
        <w:t>单位</w:t>
      </w:r>
      <w:r>
        <w:rPr>
          <w:rFonts w:hint="eastAsia" w:ascii="楷体" w:hAnsi="楷体" w:eastAsia="楷体" w:cs="楷体"/>
          <w:b/>
          <w:bCs/>
          <w:sz w:val="32"/>
          <w:szCs w:val="32"/>
        </w:rPr>
        <w:t>决算中项目绩效自评结果。</w:t>
      </w:r>
    </w:p>
    <w:p>
      <w:pPr>
        <w:keepNext w:val="0"/>
        <w:keepLines w:val="0"/>
        <w:widowControl/>
        <w:suppressLineNumbers w:val="0"/>
        <w:spacing w:before="0" w:beforeAutospacing="1" w:after="0" w:afterAutospacing="1" w:line="560" w:lineRule="atLeast"/>
        <w:ind w:left="0" w:right="0" w:firstLine="640"/>
        <w:jc w:val="both"/>
      </w:pPr>
      <w:r>
        <w:rPr>
          <w:sz w:val="32"/>
          <w:szCs w:val="32"/>
          <w:lang w:val="en-US"/>
        </w:rPr>
        <w:t>锡林郭勒盟安神医院单位2022</w:t>
      </w:r>
      <w:r>
        <w:rPr>
          <w:sz w:val="32"/>
          <w:szCs w:val="32"/>
        </w:rPr>
        <w:t>年度在决算中反映</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u w:val="single"/>
          <w:lang w:val="en-US"/>
        </w:rPr>
        <w:t> </w:t>
      </w:r>
      <w:r>
        <w:rPr>
          <w:rFonts w:hint="eastAsia" w:ascii="Times New Roman" w:hAnsi="Times New Roman" w:cs="Times New Roman"/>
          <w:sz w:val="32"/>
          <w:szCs w:val="32"/>
          <w:u w:val="single"/>
          <w:lang w:val="en-US" w:eastAsia="zh-CN"/>
        </w:rPr>
        <w:t>5</w:t>
      </w:r>
      <w:r>
        <w:rPr>
          <w:rFonts w:hint="default" w:ascii="Times New Roman" w:hAnsi="Times New Roman" w:cs="Times New Roman"/>
          <w:sz w:val="32"/>
          <w:szCs w:val="32"/>
          <w:u w:val="single"/>
          <w:lang w:val="en-US"/>
        </w:rPr>
        <w:t>  </w:t>
      </w:r>
      <w:r>
        <w:rPr>
          <w:sz w:val="32"/>
          <w:szCs w:val="32"/>
        </w:rPr>
        <w:t>个一般公共预算项目，以及</w:t>
      </w:r>
      <w:r>
        <w:rPr>
          <w:rFonts w:hint="default" w:ascii="Times New Roman" w:hAnsi="Times New Roman" w:cs="Times New Roman"/>
          <w:sz w:val="32"/>
          <w:szCs w:val="32"/>
          <w:u w:val="single"/>
          <w:lang w:val="en-US"/>
        </w:rPr>
        <w:t> </w:t>
      </w:r>
      <w:r>
        <w:rPr>
          <w:rFonts w:hint="eastAsia" w:ascii="Times New Roman" w:hAnsi="Times New Roman" w:cs="Times New Roman"/>
          <w:sz w:val="32"/>
          <w:szCs w:val="32"/>
          <w:u w:val="single"/>
          <w:lang w:val="en-US" w:eastAsia="zh-CN"/>
        </w:rPr>
        <w:t>2</w:t>
      </w:r>
      <w:r>
        <w:rPr>
          <w:rFonts w:hint="default" w:ascii="Times New Roman" w:hAnsi="Times New Roman" w:cs="Times New Roman"/>
          <w:sz w:val="32"/>
          <w:szCs w:val="32"/>
          <w:u w:val="single"/>
          <w:lang w:val="en-US"/>
        </w:rPr>
        <w:t>  </w:t>
      </w:r>
      <w:r>
        <w:rPr>
          <w:sz w:val="32"/>
          <w:szCs w:val="32"/>
        </w:rPr>
        <w:t>个政府性基金项目共</w:t>
      </w:r>
      <w:r>
        <w:rPr>
          <w:rFonts w:hint="default" w:ascii="Times New Roman" w:hAnsi="Times New Roman" w:cs="Times New Roman"/>
          <w:sz w:val="32"/>
          <w:szCs w:val="32"/>
          <w:u w:val="single"/>
          <w:lang w:val="en-US"/>
        </w:rPr>
        <w:t>  </w:t>
      </w:r>
      <w:r>
        <w:rPr>
          <w:rFonts w:hint="eastAsia" w:ascii="Times New Roman" w:hAnsi="Times New Roman" w:cs="Times New Roman"/>
          <w:sz w:val="32"/>
          <w:szCs w:val="32"/>
          <w:u w:val="single"/>
          <w:lang w:val="en-US" w:eastAsia="zh-CN"/>
        </w:rPr>
        <w:t>7</w:t>
      </w:r>
      <w:r>
        <w:rPr>
          <w:rFonts w:hint="default" w:ascii="Times New Roman" w:hAnsi="Times New Roman" w:cs="Times New Roman"/>
          <w:sz w:val="32"/>
          <w:szCs w:val="32"/>
          <w:u w:val="single"/>
          <w:lang w:val="en-US"/>
        </w:rPr>
        <w:t xml:space="preserve">  </w:t>
      </w:r>
      <w:r>
        <w:rPr>
          <w:sz w:val="32"/>
          <w:szCs w:val="32"/>
        </w:rPr>
        <w:t>个项目的绩效自评结果。</w:t>
      </w:r>
    </w:p>
    <w:p>
      <w:pPr>
        <w:keepNext w:val="0"/>
        <w:keepLines w:val="0"/>
        <w:widowControl/>
        <w:suppressLineNumbers w:val="0"/>
        <w:spacing w:before="0" w:beforeAutospacing="1" w:after="0" w:afterAutospacing="1" w:line="560" w:lineRule="atLeast"/>
        <w:ind w:left="0" w:right="0" w:firstLine="640"/>
        <w:jc w:val="both"/>
      </w:pPr>
      <w:r>
        <w:rPr>
          <w:rFonts w:hint="default" w:ascii="Times New Roman" w:hAnsi="Times New Roman" w:cs="Times New Roman"/>
          <w:sz w:val="32"/>
          <w:szCs w:val="32"/>
          <w:lang w:val="en-US"/>
        </w:rPr>
        <w:t>1.</w:t>
      </w:r>
      <w:r>
        <w:rPr>
          <w:rFonts w:hint="eastAsia"/>
          <w:sz w:val="32"/>
          <w:szCs w:val="32"/>
          <w:lang w:val="en-US"/>
        </w:rPr>
        <w:t>医疗服务与保障能力提升</w:t>
      </w:r>
      <w:r>
        <w:rPr>
          <w:sz w:val="32"/>
          <w:szCs w:val="32"/>
        </w:rPr>
        <w:t>项目自评综述：根据年初设定的绩效目标，项目自评得分</w:t>
      </w:r>
      <w:r>
        <w:rPr>
          <w:rFonts w:hint="default" w:ascii="Times New Roman" w:hAnsi="Times New Roman" w:cs="Times New Roman"/>
          <w:sz w:val="32"/>
          <w:szCs w:val="32"/>
          <w:u w:val="single"/>
          <w:lang w:val="en-US"/>
        </w:rPr>
        <w:t> </w:t>
      </w:r>
      <w:r>
        <w:rPr>
          <w:rFonts w:hint="eastAsia" w:ascii="Times New Roman" w:hAnsi="Times New Roman" w:cs="Times New Roman"/>
          <w:sz w:val="32"/>
          <w:szCs w:val="32"/>
          <w:u w:val="single"/>
          <w:lang w:val="en-US" w:eastAsia="zh-CN"/>
        </w:rPr>
        <w:t>85.74</w:t>
      </w:r>
      <w:r>
        <w:rPr>
          <w:rFonts w:hint="default" w:ascii="Times New Roman" w:hAnsi="Times New Roman" w:cs="Times New Roman"/>
          <w:sz w:val="32"/>
          <w:szCs w:val="32"/>
          <w:u w:val="single"/>
          <w:lang w:val="en-US"/>
        </w:rPr>
        <w:t xml:space="preserve"> </w:t>
      </w:r>
      <w:r>
        <w:rPr>
          <w:sz w:val="32"/>
          <w:szCs w:val="32"/>
        </w:rPr>
        <w:t>分。全年预算数为</w:t>
      </w:r>
      <w:r>
        <w:rPr>
          <w:rFonts w:hint="default" w:ascii="Times New Roman" w:hAnsi="Times New Roman" w:cs="Times New Roman"/>
          <w:sz w:val="32"/>
          <w:szCs w:val="32"/>
          <w:u w:val="single"/>
          <w:lang w:val="en-US"/>
        </w:rPr>
        <w:t> </w:t>
      </w:r>
      <w:r>
        <w:rPr>
          <w:rFonts w:hint="eastAsia" w:ascii="Times New Roman" w:hAnsi="Times New Roman" w:cs="Times New Roman"/>
          <w:sz w:val="32"/>
          <w:szCs w:val="32"/>
          <w:u w:val="single"/>
          <w:lang w:val="en-US" w:eastAsia="zh-CN"/>
        </w:rPr>
        <w:t>7.5</w:t>
      </w:r>
      <w:r>
        <w:rPr>
          <w:rFonts w:hint="default" w:ascii="Times New Roman" w:hAnsi="Times New Roman" w:cs="Times New Roman"/>
          <w:sz w:val="32"/>
          <w:szCs w:val="32"/>
          <w:u w:val="single"/>
          <w:lang w:val="en-US"/>
        </w:rPr>
        <w:t xml:space="preserve">   </w:t>
      </w:r>
      <w:r>
        <w:rPr>
          <w:sz w:val="32"/>
          <w:szCs w:val="32"/>
        </w:rPr>
        <w:t>万元，执行数为</w:t>
      </w:r>
      <w:r>
        <w:rPr>
          <w:rFonts w:hint="default" w:ascii="Times New Roman" w:hAnsi="Times New Roman" w:cs="Times New Roman"/>
          <w:sz w:val="32"/>
          <w:szCs w:val="32"/>
          <w:u w:val="single"/>
          <w:lang w:val="en-US"/>
        </w:rPr>
        <w:t> </w:t>
      </w:r>
      <w:r>
        <w:rPr>
          <w:rFonts w:hint="eastAsia" w:ascii="Times New Roman" w:hAnsi="Times New Roman" w:cs="Times New Roman"/>
          <w:sz w:val="32"/>
          <w:szCs w:val="32"/>
          <w:u w:val="single"/>
          <w:lang w:val="en-US" w:eastAsia="zh-CN"/>
        </w:rPr>
        <w:t>1.25</w:t>
      </w:r>
      <w:r>
        <w:rPr>
          <w:rFonts w:hint="default" w:ascii="Times New Roman" w:hAnsi="Times New Roman" w:cs="Times New Roman"/>
          <w:sz w:val="32"/>
          <w:szCs w:val="32"/>
          <w:u w:val="single"/>
          <w:lang w:val="en-US"/>
        </w:rPr>
        <w:t xml:space="preserve">   </w:t>
      </w:r>
      <w:r>
        <w:rPr>
          <w:sz w:val="32"/>
          <w:szCs w:val="32"/>
        </w:rPr>
        <w:t>万元，完成预算的</w:t>
      </w:r>
      <w:r>
        <w:rPr>
          <w:rFonts w:hint="default" w:ascii="Times New Roman" w:hAnsi="Times New Roman" w:cs="Times New Roman"/>
          <w:sz w:val="32"/>
          <w:szCs w:val="32"/>
          <w:u w:val="single"/>
          <w:lang w:val="en-US"/>
        </w:rPr>
        <w:t>  </w:t>
      </w:r>
      <w:r>
        <w:rPr>
          <w:rFonts w:hint="eastAsia" w:ascii="Times New Roman" w:hAnsi="Times New Roman" w:cs="Times New Roman"/>
          <w:sz w:val="32"/>
          <w:szCs w:val="32"/>
          <w:u w:val="single"/>
          <w:lang w:val="en-US" w:eastAsia="zh-CN"/>
        </w:rPr>
        <w:t>16.67</w:t>
      </w:r>
      <w:r>
        <w:rPr>
          <w:rFonts w:hint="default" w:ascii="Times New Roman" w:hAnsi="Times New Roman" w:cs="Times New Roman"/>
          <w:sz w:val="32"/>
          <w:szCs w:val="32"/>
          <w:u w:val="single"/>
          <w:lang w:val="en-US"/>
        </w:rPr>
        <w:t xml:space="preserve">  </w:t>
      </w:r>
      <w:r>
        <w:rPr>
          <w:sz w:val="32"/>
          <w:szCs w:val="32"/>
          <w:lang w:val="en-US"/>
        </w:rPr>
        <w:t>%</w:t>
      </w:r>
      <w:r>
        <w:rPr>
          <w:sz w:val="32"/>
          <w:szCs w:val="32"/>
        </w:rPr>
        <w:t>。项目绩效目标完成情况：</w:t>
      </w:r>
      <w:r>
        <w:rPr>
          <w:rFonts w:hint="eastAsia"/>
          <w:sz w:val="32"/>
          <w:szCs w:val="32"/>
          <w:lang w:val="en-US" w:eastAsia="zh-CN"/>
        </w:rPr>
        <w:t>产出指标总分50分自评得分44.07分，其中数量指标总分15分自评得分13.5分、质量指标总分15分自评得分14.74分、时效指标总分10分自评得分10分、成本指标总分10分自评得分5.83分；效益指标总分30分自评得分30分；满意度指标总分10分自评得分10分</w:t>
      </w:r>
      <w:r>
        <w:rPr>
          <w:sz w:val="32"/>
          <w:szCs w:val="32"/>
        </w:rPr>
        <w:t>。发现的主要问题及原因：</w:t>
      </w:r>
      <w:r>
        <w:rPr>
          <w:rFonts w:hint="eastAsia"/>
          <w:sz w:val="32"/>
          <w:szCs w:val="32"/>
          <w:lang w:val="en-US" w:eastAsia="zh-CN"/>
        </w:rPr>
        <w:t>年初设立目标时未考虑疫情带来的影响导致目标不能及时完成</w:t>
      </w:r>
      <w:r>
        <w:rPr>
          <w:sz w:val="32"/>
          <w:szCs w:val="32"/>
        </w:rPr>
        <w:t>。下一步改进措施：</w:t>
      </w:r>
      <w:r>
        <w:rPr>
          <w:rFonts w:hint="eastAsia"/>
          <w:sz w:val="32"/>
          <w:szCs w:val="32"/>
          <w:lang w:val="en-US" w:eastAsia="zh-CN"/>
        </w:rPr>
        <w:t>持续做好绩效目标管理工作，在申报项目资金时编制科学合理的绩效目标，全面考虑可能影响项目实施的因素，进一步做到绩效目标明确、细化、量化</w:t>
      </w:r>
      <w:r>
        <w:rPr>
          <w:sz w:val="32"/>
          <w:szCs w:val="32"/>
        </w:rPr>
        <w:t>。</w:t>
      </w:r>
    </w:p>
    <w:p>
      <w:pPr>
        <w:keepNext w:val="0"/>
        <w:keepLines w:val="0"/>
        <w:widowControl/>
        <w:suppressLineNumbers w:val="0"/>
        <w:spacing w:before="0" w:beforeAutospacing="1" w:after="0" w:afterAutospacing="1" w:line="560" w:lineRule="atLeast"/>
        <w:ind w:left="0" w:right="0" w:firstLine="640"/>
        <w:jc w:val="both"/>
      </w:pPr>
      <w:r>
        <w:rPr>
          <w:rFonts w:hint="eastAsia" w:ascii="Times New Roman" w:hAnsi="Times New Roman" w:cs="Times New Roman"/>
          <w:sz w:val="32"/>
          <w:szCs w:val="32"/>
          <w:lang w:val="en-US" w:eastAsia="zh-CN"/>
        </w:rPr>
        <w:t>2</w:t>
      </w:r>
      <w:r>
        <w:rPr>
          <w:rFonts w:hint="default" w:ascii="Times New Roman" w:hAnsi="Times New Roman" w:cs="Times New Roman"/>
          <w:sz w:val="32"/>
          <w:szCs w:val="32"/>
          <w:lang w:val="en-US"/>
        </w:rPr>
        <w:t>.</w:t>
      </w:r>
      <w:r>
        <w:rPr>
          <w:rFonts w:hint="eastAsia"/>
          <w:sz w:val="32"/>
          <w:szCs w:val="32"/>
          <w:lang w:val="en-US"/>
        </w:rPr>
        <w:t>精神科医师转岗培训（21结转）</w:t>
      </w:r>
      <w:r>
        <w:rPr>
          <w:sz w:val="32"/>
          <w:szCs w:val="32"/>
        </w:rPr>
        <w:t>项目自评综述：根据年初设定的绩效目标，项目自评得分</w:t>
      </w:r>
      <w:r>
        <w:rPr>
          <w:rFonts w:hint="default" w:ascii="Times New Roman" w:hAnsi="Times New Roman" w:cs="Times New Roman"/>
          <w:sz w:val="32"/>
          <w:szCs w:val="32"/>
          <w:u w:val="single"/>
          <w:lang w:val="en-US"/>
        </w:rPr>
        <w:t> </w:t>
      </w:r>
      <w:r>
        <w:rPr>
          <w:rFonts w:hint="eastAsia" w:ascii="Times New Roman" w:hAnsi="Times New Roman" w:cs="Times New Roman"/>
          <w:sz w:val="32"/>
          <w:szCs w:val="32"/>
          <w:u w:val="single"/>
          <w:lang w:val="en-US" w:eastAsia="zh-CN"/>
        </w:rPr>
        <w:t>79.32</w:t>
      </w:r>
      <w:r>
        <w:rPr>
          <w:rFonts w:hint="default" w:ascii="Times New Roman" w:hAnsi="Times New Roman" w:cs="Times New Roman"/>
          <w:sz w:val="32"/>
          <w:szCs w:val="32"/>
          <w:u w:val="single"/>
          <w:lang w:val="en-US"/>
        </w:rPr>
        <w:t xml:space="preserve">  </w:t>
      </w:r>
      <w:r>
        <w:rPr>
          <w:sz w:val="32"/>
          <w:szCs w:val="32"/>
        </w:rPr>
        <w:t>分。全年预算数为</w:t>
      </w:r>
      <w:r>
        <w:rPr>
          <w:rFonts w:hint="default" w:ascii="Times New Roman" w:hAnsi="Times New Roman" w:cs="Times New Roman"/>
          <w:sz w:val="32"/>
          <w:szCs w:val="32"/>
          <w:u w:val="single"/>
          <w:lang w:val="en-US"/>
        </w:rPr>
        <w:t>   </w:t>
      </w:r>
      <w:r>
        <w:rPr>
          <w:rFonts w:hint="eastAsia" w:ascii="Times New Roman" w:hAnsi="Times New Roman" w:cs="Times New Roman"/>
          <w:sz w:val="32"/>
          <w:szCs w:val="32"/>
          <w:u w:val="single"/>
          <w:lang w:val="en-US" w:eastAsia="zh-CN"/>
        </w:rPr>
        <w:t>3.83</w:t>
      </w:r>
      <w:r>
        <w:rPr>
          <w:rFonts w:hint="default" w:ascii="Times New Roman" w:hAnsi="Times New Roman" w:cs="Times New Roman"/>
          <w:sz w:val="32"/>
          <w:szCs w:val="32"/>
          <w:u w:val="single"/>
          <w:lang w:val="en-US"/>
        </w:rPr>
        <w:t xml:space="preserve"> </w:t>
      </w:r>
      <w:r>
        <w:rPr>
          <w:sz w:val="32"/>
          <w:szCs w:val="32"/>
        </w:rPr>
        <w:t>万元，执行数为</w:t>
      </w:r>
      <w:r>
        <w:rPr>
          <w:rFonts w:hint="default" w:ascii="Times New Roman" w:hAnsi="Times New Roman" w:cs="Times New Roman"/>
          <w:sz w:val="32"/>
          <w:szCs w:val="32"/>
          <w:u w:val="single"/>
          <w:lang w:val="en-US"/>
        </w:rPr>
        <w:t>  </w:t>
      </w:r>
      <w:r>
        <w:rPr>
          <w:rFonts w:hint="eastAsia" w:ascii="Times New Roman" w:hAnsi="Times New Roman" w:cs="Times New Roman"/>
          <w:sz w:val="32"/>
          <w:szCs w:val="32"/>
          <w:u w:val="single"/>
          <w:lang w:val="en-US" w:eastAsia="zh-CN"/>
        </w:rPr>
        <w:t>3.83</w:t>
      </w:r>
      <w:r>
        <w:rPr>
          <w:rFonts w:hint="default" w:ascii="Times New Roman" w:hAnsi="Times New Roman" w:cs="Times New Roman"/>
          <w:sz w:val="32"/>
          <w:szCs w:val="32"/>
          <w:u w:val="single"/>
          <w:lang w:val="en-US"/>
        </w:rPr>
        <w:t xml:space="preserve">  </w:t>
      </w:r>
      <w:r>
        <w:rPr>
          <w:sz w:val="32"/>
          <w:szCs w:val="32"/>
        </w:rPr>
        <w:t>万元，完成预算的</w:t>
      </w:r>
      <w:r>
        <w:rPr>
          <w:rFonts w:hint="default" w:ascii="Times New Roman" w:hAnsi="Times New Roman" w:cs="Times New Roman"/>
          <w:sz w:val="32"/>
          <w:szCs w:val="32"/>
          <w:u w:val="single"/>
          <w:lang w:val="en-US"/>
        </w:rPr>
        <w:t>  </w:t>
      </w:r>
      <w:r>
        <w:rPr>
          <w:rFonts w:hint="eastAsia" w:ascii="Times New Roman" w:hAnsi="Times New Roman" w:cs="Times New Roman"/>
          <w:sz w:val="32"/>
          <w:szCs w:val="32"/>
          <w:u w:val="single"/>
          <w:lang w:val="en-US" w:eastAsia="zh-CN"/>
        </w:rPr>
        <w:t>100</w:t>
      </w:r>
      <w:r>
        <w:rPr>
          <w:rFonts w:hint="default" w:ascii="Times New Roman" w:hAnsi="Times New Roman" w:cs="Times New Roman"/>
          <w:sz w:val="32"/>
          <w:szCs w:val="32"/>
          <w:u w:val="single"/>
          <w:lang w:val="en-US"/>
        </w:rPr>
        <w:t xml:space="preserve">  </w:t>
      </w:r>
      <w:r>
        <w:rPr>
          <w:sz w:val="32"/>
          <w:szCs w:val="32"/>
          <w:lang w:val="en-US"/>
        </w:rPr>
        <w:t>%</w:t>
      </w:r>
      <w:r>
        <w:rPr>
          <w:sz w:val="32"/>
          <w:szCs w:val="32"/>
        </w:rPr>
        <w:t>。项目绩效目标完成情况：</w:t>
      </w:r>
      <w:r>
        <w:rPr>
          <w:rFonts w:hint="eastAsia"/>
          <w:sz w:val="32"/>
          <w:szCs w:val="32"/>
          <w:lang w:val="en-US" w:eastAsia="zh-CN"/>
        </w:rPr>
        <w:t>产出指标总分50分自评得分29.32分，其中数量指标总分15分自评得分12.08分、质量指标总分15分自评得分10分、时效指标总分10分自评得分7.24分、成本指标总分10分自评得分0分；效益指标总分30分自评得分30分；满意度指标总分10分自评得分10分</w:t>
      </w:r>
      <w:r>
        <w:rPr>
          <w:sz w:val="32"/>
          <w:szCs w:val="32"/>
        </w:rPr>
        <w:t>。发现的主要问题及原因：</w:t>
      </w:r>
      <w:r>
        <w:rPr>
          <w:rFonts w:hint="eastAsia"/>
          <w:sz w:val="32"/>
          <w:szCs w:val="32"/>
          <w:lang w:val="en-US" w:eastAsia="zh-CN"/>
        </w:rPr>
        <w:t>年初设立目标时未考虑疫情带来的影响导致目标不能及时完成</w:t>
      </w:r>
      <w:r>
        <w:rPr>
          <w:sz w:val="32"/>
          <w:szCs w:val="32"/>
        </w:rPr>
        <w:t>。下一步改进措施：</w:t>
      </w:r>
      <w:r>
        <w:rPr>
          <w:rFonts w:hint="eastAsia"/>
          <w:sz w:val="32"/>
          <w:szCs w:val="32"/>
          <w:lang w:val="en-US" w:eastAsia="zh-CN"/>
        </w:rPr>
        <w:t>持续做好绩效目标管理工作，在申报项目资金时编制科学合理的绩效目标，全面考虑可能影响项目实施的因素，进一步做到绩效目标明确、细化、量化</w:t>
      </w:r>
      <w:r>
        <w:rPr>
          <w:sz w:val="32"/>
          <w:szCs w:val="32"/>
        </w:rPr>
        <w:t>。</w:t>
      </w:r>
    </w:p>
    <w:p>
      <w:pPr>
        <w:keepNext w:val="0"/>
        <w:keepLines w:val="0"/>
        <w:widowControl/>
        <w:suppressLineNumbers w:val="0"/>
        <w:spacing w:before="0" w:beforeAutospacing="1" w:after="0" w:afterAutospacing="1" w:line="560" w:lineRule="atLeast"/>
        <w:ind w:left="0" w:right="0" w:firstLine="640"/>
        <w:jc w:val="both"/>
        <w:rPr>
          <w:sz w:val="32"/>
          <w:szCs w:val="32"/>
        </w:rPr>
      </w:pPr>
      <w:r>
        <w:rPr>
          <w:rFonts w:hint="eastAsia" w:ascii="Times New Roman" w:hAnsi="Times New Roman" w:cs="Times New Roman"/>
          <w:sz w:val="32"/>
          <w:szCs w:val="32"/>
          <w:lang w:val="en-US" w:eastAsia="zh-CN"/>
        </w:rPr>
        <w:t>3</w:t>
      </w:r>
      <w:r>
        <w:rPr>
          <w:rFonts w:hint="default" w:ascii="Times New Roman" w:hAnsi="Times New Roman" w:cs="Times New Roman"/>
          <w:sz w:val="32"/>
          <w:szCs w:val="32"/>
          <w:lang w:val="en-US"/>
        </w:rPr>
        <w:t>.</w:t>
      </w:r>
      <w:r>
        <w:rPr>
          <w:rFonts w:hint="eastAsia"/>
          <w:sz w:val="32"/>
          <w:szCs w:val="32"/>
          <w:lang w:val="en-US"/>
        </w:rPr>
        <w:t>精神卫生疾病防治</w:t>
      </w:r>
      <w:r>
        <w:rPr>
          <w:sz w:val="32"/>
          <w:szCs w:val="32"/>
        </w:rPr>
        <w:t>项目自评综述：根据年初设定的绩效目标，项目自评得分</w:t>
      </w:r>
      <w:r>
        <w:rPr>
          <w:rFonts w:hint="eastAsia" w:ascii="Times New Roman" w:hAnsi="Times New Roman" w:cs="Times New Roman"/>
          <w:sz w:val="32"/>
          <w:szCs w:val="32"/>
          <w:u w:val="single"/>
          <w:lang w:val="en-US" w:eastAsia="zh-CN"/>
        </w:rPr>
        <w:t>93.5</w:t>
      </w:r>
      <w:r>
        <w:rPr>
          <w:rFonts w:hint="default" w:ascii="Times New Roman" w:hAnsi="Times New Roman" w:cs="Times New Roman"/>
          <w:sz w:val="32"/>
          <w:szCs w:val="32"/>
          <w:u w:val="single"/>
          <w:lang w:val="en-US"/>
        </w:rPr>
        <w:t xml:space="preserve"> </w:t>
      </w:r>
      <w:r>
        <w:rPr>
          <w:sz w:val="32"/>
          <w:szCs w:val="32"/>
        </w:rPr>
        <w:t>分。全年预算数为</w:t>
      </w:r>
      <w:r>
        <w:rPr>
          <w:rFonts w:hint="default" w:ascii="Times New Roman" w:hAnsi="Times New Roman" w:cs="Times New Roman"/>
          <w:sz w:val="32"/>
          <w:szCs w:val="32"/>
          <w:u w:val="single"/>
          <w:lang w:val="en-US"/>
        </w:rPr>
        <w:t> </w:t>
      </w:r>
      <w:r>
        <w:rPr>
          <w:rFonts w:hint="eastAsia" w:ascii="Times New Roman" w:hAnsi="Times New Roman" w:cs="Times New Roman"/>
          <w:sz w:val="32"/>
          <w:szCs w:val="32"/>
          <w:u w:val="single"/>
          <w:lang w:val="en-US" w:eastAsia="zh-CN"/>
        </w:rPr>
        <w:t>40</w:t>
      </w:r>
      <w:r>
        <w:rPr>
          <w:rFonts w:hint="default" w:ascii="Times New Roman" w:hAnsi="Times New Roman" w:cs="Times New Roman"/>
          <w:sz w:val="32"/>
          <w:szCs w:val="32"/>
          <w:u w:val="single"/>
          <w:lang w:val="en-US"/>
        </w:rPr>
        <w:t xml:space="preserve">   </w:t>
      </w:r>
      <w:r>
        <w:rPr>
          <w:sz w:val="32"/>
          <w:szCs w:val="32"/>
        </w:rPr>
        <w:t>万元，执行数为</w:t>
      </w:r>
      <w:r>
        <w:rPr>
          <w:rFonts w:hint="default" w:ascii="Times New Roman" w:hAnsi="Times New Roman" w:cs="Times New Roman"/>
          <w:sz w:val="32"/>
          <w:szCs w:val="32"/>
          <w:u w:val="single"/>
          <w:lang w:val="en-US"/>
        </w:rPr>
        <w:t>   </w:t>
      </w:r>
      <w:r>
        <w:rPr>
          <w:rFonts w:hint="eastAsia" w:ascii="Times New Roman" w:hAnsi="Times New Roman" w:cs="Times New Roman"/>
          <w:sz w:val="32"/>
          <w:szCs w:val="32"/>
          <w:u w:val="single"/>
          <w:lang w:val="en-US" w:eastAsia="zh-CN"/>
        </w:rPr>
        <w:t>40</w:t>
      </w:r>
      <w:r>
        <w:rPr>
          <w:rFonts w:hint="default" w:ascii="Times New Roman" w:hAnsi="Times New Roman" w:cs="Times New Roman"/>
          <w:sz w:val="32"/>
          <w:szCs w:val="32"/>
          <w:u w:val="single"/>
          <w:lang w:val="en-US"/>
        </w:rPr>
        <w:t xml:space="preserve"> </w:t>
      </w:r>
      <w:r>
        <w:rPr>
          <w:sz w:val="32"/>
          <w:szCs w:val="32"/>
        </w:rPr>
        <w:t>万元，完成预算的</w:t>
      </w:r>
      <w:r>
        <w:rPr>
          <w:rFonts w:hint="default" w:ascii="Times New Roman" w:hAnsi="Times New Roman" w:cs="Times New Roman"/>
          <w:sz w:val="32"/>
          <w:szCs w:val="32"/>
          <w:u w:val="single"/>
          <w:lang w:val="en-US"/>
        </w:rPr>
        <w:t>  </w:t>
      </w:r>
      <w:r>
        <w:rPr>
          <w:rFonts w:hint="eastAsia" w:ascii="Times New Roman" w:hAnsi="Times New Roman" w:cs="Times New Roman"/>
          <w:sz w:val="32"/>
          <w:szCs w:val="32"/>
          <w:u w:val="single"/>
          <w:lang w:val="en-US" w:eastAsia="zh-CN"/>
        </w:rPr>
        <w:t>100</w:t>
      </w:r>
      <w:r>
        <w:rPr>
          <w:rFonts w:hint="default" w:ascii="Times New Roman" w:hAnsi="Times New Roman" w:cs="Times New Roman"/>
          <w:sz w:val="32"/>
          <w:szCs w:val="32"/>
          <w:u w:val="single"/>
          <w:lang w:val="en-US"/>
        </w:rPr>
        <w:t xml:space="preserve"> </w:t>
      </w:r>
      <w:r>
        <w:rPr>
          <w:sz w:val="32"/>
          <w:szCs w:val="32"/>
          <w:lang w:val="en-US"/>
        </w:rPr>
        <w:t>%</w:t>
      </w:r>
      <w:r>
        <w:rPr>
          <w:sz w:val="32"/>
          <w:szCs w:val="32"/>
        </w:rPr>
        <w:t>。项目绩效目标完成情况：</w:t>
      </w:r>
      <w:r>
        <w:rPr>
          <w:rFonts w:hint="eastAsia"/>
          <w:sz w:val="32"/>
          <w:szCs w:val="32"/>
          <w:lang w:val="en-US" w:eastAsia="zh-CN"/>
        </w:rPr>
        <w:t>产出指标总分50分自评得分43.5分，其中数量指标总分15分自评得分14.19分、质量指标总分15分自评得分15分、时效指标总分10分自评得分9.72分、成本指标总分10分自评得分4.59分；效益指标总分30分自评得分30分；满意度指标总分10分自评得分10分</w:t>
      </w:r>
      <w:r>
        <w:rPr>
          <w:sz w:val="32"/>
          <w:szCs w:val="32"/>
        </w:rPr>
        <w:t>。发现的主要问题及原因：</w:t>
      </w:r>
      <w:r>
        <w:rPr>
          <w:rFonts w:hint="eastAsia"/>
          <w:sz w:val="32"/>
          <w:szCs w:val="32"/>
          <w:lang w:val="en-US" w:eastAsia="zh-CN"/>
        </w:rPr>
        <w:t>年初设立目标时未考虑疫情带来的影响导致目标不能及时完成</w:t>
      </w:r>
      <w:r>
        <w:rPr>
          <w:sz w:val="32"/>
          <w:szCs w:val="32"/>
        </w:rPr>
        <w:t>。下一步改进措施：</w:t>
      </w:r>
      <w:r>
        <w:rPr>
          <w:rFonts w:hint="eastAsia"/>
          <w:sz w:val="32"/>
          <w:szCs w:val="32"/>
          <w:lang w:val="en-US" w:eastAsia="zh-CN"/>
        </w:rPr>
        <w:t>持续做好绩效目标管理工作，在申报项目资金时编制科学合理的绩效目标，全面考虑可能影响项目实施的因素，进一步做到绩效目标明确、细化、量化</w:t>
      </w:r>
      <w:r>
        <w:rPr>
          <w:sz w:val="32"/>
          <w:szCs w:val="32"/>
        </w:rPr>
        <w:t>。</w:t>
      </w:r>
    </w:p>
    <w:p>
      <w:pPr>
        <w:keepNext w:val="0"/>
        <w:keepLines w:val="0"/>
        <w:widowControl/>
        <w:suppressLineNumbers w:val="0"/>
        <w:spacing w:before="0" w:beforeAutospacing="1" w:after="0" w:afterAutospacing="1" w:line="560" w:lineRule="atLeast"/>
        <w:ind w:left="0" w:right="0" w:firstLine="640"/>
        <w:jc w:val="both"/>
        <w:rPr>
          <w:rFonts w:asciiTheme="minorEastAsia" w:hAnsiTheme="minorEastAsia" w:eastAsiaTheme="minorEastAsia" w:cstheme="minorEastAsia"/>
          <w:kern w:val="0"/>
          <w:sz w:val="32"/>
          <w:szCs w:val="32"/>
          <w:lang w:val="en-US" w:eastAsia="zh-CN" w:bidi="ar"/>
        </w:rPr>
      </w:pPr>
      <w:r>
        <w:rPr>
          <w:rFonts w:hint="eastAsia" w:asciiTheme="minorEastAsia" w:hAnsiTheme="minorEastAsia" w:eastAsiaTheme="minorEastAsia" w:cstheme="minorEastAsia"/>
          <w:kern w:val="0"/>
          <w:sz w:val="32"/>
          <w:szCs w:val="32"/>
          <w:lang w:val="en-US" w:eastAsia="zh-CN" w:bidi="ar"/>
        </w:rPr>
        <w:t>4.疫情防控保障资金</w:t>
      </w:r>
      <w:r>
        <w:rPr>
          <w:rFonts w:asciiTheme="minorEastAsia" w:hAnsiTheme="minorEastAsia" w:eastAsiaTheme="minorEastAsia" w:cstheme="minorEastAsia"/>
          <w:kern w:val="0"/>
          <w:sz w:val="32"/>
          <w:szCs w:val="32"/>
          <w:lang w:val="en-US" w:eastAsia="zh-CN" w:bidi="ar"/>
        </w:rPr>
        <w:t>项目自评综述：根据年初设定的绩效目标，项目自评得分</w:t>
      </w:r>
      <w:r>
        <w:rPr>
          <w:rFonts w:hint="eastAsia" w:asciiTheme="minorEastAsia" w:hAnsiTheme="minorEastAsia" w:eastAsiaTheme="minorEastAsia" w:cstheme="minorEastAsia"/>
          <w:kern w:val="0"/>
          <w:sz w:val="32"/>
          <w:szCs w:val="32"/>
          <w:lang w:val="en-US" w:eastAsia="zh-CN" w:bidi="ar"/>
        </w:rPr>
        <w:t>94.64</w:t>
      </w:r>
      <w:r>
        <w:rPr>
          <w:rFonts w:asciiTheme="minorEastAsia" w:hAnsiTheme="minorEastAsia" w:eastAsiaTheme="minorEastAsia" w:cstheme="minorEastAsia"/>
          <w:kern w:val="0"/>
          <w:sz w:val="32"/>
          <w:szCs w:val="32"/>
          <w:lang w:val="en-US" w:eastAsia="zh-CN" w:bidi="ar"/>
        </w:rPr>
        <w:t>分。全年预算数为</w:t>
      </w:r>
      <w:r>
        <w:rPr>
          <w:rFonts w:hint="eastAsia" w:asciiTheme="minorEastAsia" w:hAnsiTheme="minorEastAsia" w:eastAsiaTheme="minorEastAsia" w:cstheme="minorEastAsia"/>
          <w:kern w:val="0"/>
          <w:sz w:val="32"/>
          <w:szCs w:val="32"/>
          <w:lang w:val="en-US" w:eastAsia="zh-CN" w:bidi="ar"/>
        </w:rPr>
        <w:t>40.19</w:t>
      </w:r>
      <w:r>
        <w:rPr>
          <w:rFonts w:asciiTheme="minorEastAsia" w:hAnsiTheme="minorEastAsia" w:eastAsiaTheme="minorEastAsia" w:cstheme="minorEastAsia"/>
          <w:kern w:val="0"/>
          <w:sz w:val="32"/>
          <w:szCs w:val="32"/>
          <w:lang w:val="en-US" w:eastAsia="zh-CN" w:bidi="ar"/>
        </w:rPr>
        <w:t>万元，执行数为</w:t>
      </w:r>
      <w:r>
        <w:rPr>
          <w:rFonts w:hint="eastAsia" w:asciiTheme="minorEastAsia" w:hAnsiTheme="minorEastAsia" w:eastAsiaTheme="minorEastAsia" w:cstheme="minorEastAsia"/>
          <w:kern w:val="0"/>
          <w:sz w:val="32"/>
          <w:szCs w:val="32"/>
          <w:lang w:val="en-US" w:eastAsia="zh-CN" w:bidi="ar"/>
        </w:rPr>
        <w:t>38.76</w:t>
      </w:r>
      <w:r>
        <w:rPr>
          <w:rFonts w:asciiTheme="minorEastAsia" w:hAnsiTheme="minorEastAsia" w:eastAsiaTheme="minorEastAsia" w:cstheme="minorEastAsia"/>
          <w:kern w:val="0"/>
          <w:sz w:val="32"/>
          <w:szCs w:val="32"/>
          <w:lang w:val="en-US" w:eastAsia="zh-CN" w:bidi="ar"/>
        </w:rPr>
        <w:t>万元，完成预算的</w:t>
      </w:r>
      <w:r>
        <w:rPr>
          <w:rFonts w:hint="eastAsia" w:asciiTheme="minorEastAsia" w:hAnsiTheme="minorEastAsia" w:eastAsiaTheme="minorEastAsia" w:cstheme="minorEastAsia"/>
          <w:kern w:val="0"/>
          <w:sz w:val="32"/>
          <w:szCs w:val="32"/>
          <w:lang w:val="en-US" w:eastAsia="zh-CN" w:bidi="ar"/>
        </w:rPr>
        <w:t>96.44</w:t>
      </w:r>
      <w:r>
        <w:rPr>
          <w:rFonts w:asciiTheme="minorEastAsia" w:hAnsiTheme="minorEastAsia" w:eastAsiaTheme="minorEastAsia" w:cstheme="minorEastAsia"/>
          <w:kern w:val="0"/>
          <w:sz w:val="32"/>
          <w:szCs w:val="32"/>
          <w:lang w:val="en-US" w:eastAsia="zh-CN" w:bidi="ar"/>
        </w:rPr>
        <w:t>%。项目绩效目标完成情况：</w:t>
      </w:r>
      <w:r>
        <w:rPr>
          <w:rFonts w:hint="eastAsia"/>
          <w:sz w:val="32"/>
          <w:szCs w:val="32"/>
          <w:lang w:val="en-US" w:eastAsia="zh-CN"/>
        </w:rPr>
        <w:t>产出指标总分50分自评得分45分，其中数量指标总分15分自评得分15分、质量指标总分15分自评得分15分、时效指标总分10分自评得分10分、成本指标总分10分自评得分5分；效益指标总分30分自评得分30分；满意度指标总分10分自评得分10分</w:t>
      </w:r>
      <w:r>
        <w:rPr>
          <w:sz w:val="32"/>
          <w:szCs w:val="32"/>
        </w:rPr>
        <w:t>。发现的主要问题及原因：</w:t>
      </w:r>
      <w:r>
        <w:rPr>
          <w:rFonts w:hint="eastAsia"/>
          <w:sz w:val="32"/>
          <w:szCs w:val="32"/>
          <w:lang w:val="en-US" w:eastAsia="zh-CN"/>
        </w:rPr>
        <w:t>资金支付不及时</w:t>
      </w:r>
      <w:r>
        <w:rPr>
          <w:sz w:val="32"/>
          <w:szCs w:val="32"/>
        </w:rPr>
        <w:t>。下一步改进措施：</w:t>
      </w:r>
      <w:r>
        <w:rPr>
          <w:rFonts w:hint="eastAsia"/>
          <w:sz w:val="32"/>
          <w:szCs w:val="32"/>
          <w:lang w:val="en-US" w:eastAsia="zh-CN"/>
        </w:rPr>
        <w:t>加强制度落实，严格按照制度要求支付资金，提高资金使用率。</w:t>
      </w:r>
    </w:p>
    <w:p>
      <w:pPr>
        <w:keepNext w:val="0"/>
        <w:keepLines w:val="0"/>
        <w:widowControl/>
        <w:suppressLineNumbers w:val="0"/>
        <w:spacing w:before="0" w:beforeAutospacing="1" w:after="0" w:afterAutospacing="1" w:line="560" w:lineRule="atLeast"/>
        <w:ind w:left="0" w:right="0" w:firstLine="640"/>
        <w:jc w:val="both"/>
        <w:rPr>
          <w:lang w:val="en-US" w:eastAsia="zh-CN"/>
        </w:rPr>
      </w:pPr>
      <w:r>
        <w:rPr>
          <w:rFonts w:hint="eastAsia" w:asciiTheme="minorEastAsia" w:hAnsiTheme="minorEastAsia" w:eastAsiaTheme="minorEastAsia" w:cstheme="minorEastAsia"/>
          <w:kern w:val="0"/>
          <w:sz w:val="32"/>
          <w:szCs w:val="32"/>
          <w:lang w:val="en-US" w:eastAsia="zh-CN" w:bidi="ar"/>
        </w:rPr>
        <w:t>5.包联（小区）疫情防控经费</w:t>
      </w:r>
      <w:r>
        <w:rPr>
          <w:rFonts w:asciiTheme="minorEastAsia" w:hAnsiTheme="minorEastAsia" w:eastAsiaTheme="minorEastAsia" w:cstheme="minorEastAsia"/>
          <w:kern w:val="0"/>
          <w:sz w:val="32"/>
          <w:szCs w:val="32"/>
          <w:lang w:val="en-US" w:eastAsia="zh-CN" w:bidi="ar"/>
        </w:rPr>
        <w:t>项目自评综述：根据年初设定的绩效目标，项目自评得分</w:t>
      </w:r>
      <w:r>
        <w:rPr>
          <w:rFonts w:hint="eastAsia" w:asciiTheme="minorEastAsia" w:hAnsiTheme="minorEastAsia" w:eastAsiaTheme="minorEastAsia" w:cstheme="minorEastAsia"/>
          <w:kern w:val="0"/>
          <w:sz w:val="32"/>
          <w:szCs w:val="32"/>
          <w:lang w:val="en-US" w:eastAsia="zh-CN" w:bidi="ar"/>
        </w:rPr>
        <w:t>88.61</w:t>
      </w:r>
      <w:r>
        <w:rPr>
          <w:rFonts w:asciiTheme="minorEastAsia" w:hAnsiTheme="minorEastAsia" w:eastAsiaTheme="minorEastAsia" w:cstheme="minorEastAsia"/>
          <w:kern w:val="0"/>
          <w:sz w:val="32"/>
          <w:szCs w:val="32"/>
          <w:lang w:val="en-US" w:eastAsia="zh-CN" w:bidi="ar"/>
        </w:rPr>
        <w:t>分。全年预算数为</w:t>
      </w:r>
      <w:r>
        <w:rPr>
          <w:rFonts w:hint="eastAsia" w:asciiTheme="minorEastAsia" w:hAnsiTheme="minorEastAsia" w:eastAsiaTheme="minorEastAsia" w:cstheme="minorEastAsia"/>
          <w:kern w:val="0"/>
          <w:sz w:val="32"/>
          <w:szCs w:val="32"/>
          <w:lang w:val="en-US" w:eastAsia="zh-CN" w:bidi="ar"/>
        </w:rPr>
        <w:t>12.10</w:t>
      </w:r>
      <w:r>
        <w:rPr>
          <w:rFonts w:asciiTheme="minorEastAsia" w:hAnsiTheme="minorEastAsia" w:eastAsiaTheme="minorEastAsia" w:cstheme="minorEastAsia"/>
          <w:kern w:val="0"/>
          <w:sz w:val="32"/>
          <w:szCs w:val="32"/>
          <w:lang w:val="en-US" w:eastAsia="zh-CN" w:bidi="ar"/>
        </w:rPr>
        <w:t>万元，执行数为</w:t>
      </w:r>
      <w:r>
        <w:rPr>
          <w:rFonts w:hint="eastAsia" w:asciiTheme="minorEastAsia" w:hAnsiTheme="minorEastAsia" w:eastAsiaTheme="minorEastAsia" w:cstheme="minorEastAsia"/>
          <w:kern w:val="0"/>
          <w:sz w:val="32"/>
          <w:szCs w:val="32"/>
          <w:lang w:val="en-US" w:eastAsia="zh-CN" w:bidi="ar"/>
        </w:rPr>
        <w:t>4.93</w:t>
      </w:r>
      <w:r>
        <w:rPr>
          <w:rFonts w:asciiTheme="minorEastAsia" w:hAnsiTheme="minorEastAsia" w:eastAsiaTheme="minorEastAsia" w:cstheme="minorEastAsia"/>
          <w:kern w:val="0"/>
          <w:sz w:val="32"/>
          <w:szCs w:val="32"/>
          <w:lang w:val="en-US" w:eastAsia="zh-CN" w:bidi="ar"/>
        </w:rPr>
        <w:t>万元，完成预算的</w:t>
      </w:r>
      <w:r>
        <w:rPr>
          <w:rFonts w:hint="eastAsia" w:asciiTheme="minorEastAsia" w:hAnsiTheme="minorEastAsia" w:eastAsiaTheme="minorEastAsia" w:cstheme="minorEastAsia"/>
          <w:kern w:val="0"/>
          <w:sz w:val="32"/>
          <w:szCs w:val="32"/>
          <w:lang w:val="en-US" w:eastAsia="zh-CN" w:bidi="ar"/>
        </w:rPr>
        <w:t>40.74</w:t>
      </w:r>
      <w:r>
        <w:rPr>
          <w:rFonts w:hint="default" w:asciiTheme="minorEastAsia" w:hAnsiTheme="minorEastAsia" w:eastAsiaTheme="minorEastAsia" w:cstheme="minorEastAsia"/>
          <w:kern w:val="0"/>
          <w:sz w:val="32"/>
          <w:szCs w:val="32"/>
          <w:lang w:val="en-US" w:eastAsia="zh-CN" w:bidi="ar"/>
        </w:rPr>
        <w:t xml:space="preserve"> </w:t>
      </w:r>
      <w:r>
        <w:rPr>
          <w:rFonts w:asciiTheme="minorEastAsia" w:hAnsiTheme="minorEastAsia" w:eastAsiaTheme="minorEastAsia" w:cstheme="minorEastAsia"/>
          <w:kern w:val="0"/>
          <w:sz w:val="32"/>
          <w:szCs w:val="32"/>
          <w:lang w:val="en-US" w:eastAsia="zh-CN" w:bidi="ar"/>
        </w:rPr>
        <w:t>%。项目绩效目标完成情况：</w:t>
      </w:r>
      <w:r>
        <w:rPr>
          <w:rFonts w:hint="eastAsia"/>
          <w:sz w:val="32"/>
          <w:szCs w:val="32"/>
          <w:lang w:val="en-US" w:eastAsia="zh-CN"/>
        </w:rPr>
        <w:t>产出指标总分50分自评得分44.54分，其中数量指标总分15分自评得分15分、质量指标总分15分自评得分15分、时效指标总分10分自评得分7.5分、成本指标总分10分自评得分7.04分；效益指标总分30分自评得分30分；满意度指标总分10分自评得分10分</w:t>
      </w:r>
      <w:r>
        <w:rPr>
          <w:sz w:val="32"/>
          <w:szCs w:val="32"/>
        </w:rPr>
        <w:t>。发现的主要问题及原因：</w:t>
      </w:r>
      <w:r>
        <w:rPr>
          <w:rFonts w:hint="eastAsia"/>
          <w:sz w:val="32"/>
          <w:szCs w:val="32"/>
          <w:lang w:val="en-US" w:eastAsia="zh-CN"/>
        </w:rPr>
        <w:t>资金支付不及时</w:t>
      </w:r>
      <w:r>
        <w:rPr>
          <w:sz w:val="32"/>
          <w:szCs w:val="32"/>
        </w:rPr>
        <w:t>。下一步改进措施：</w:t>
      </w:r>
      <w:r>
        <w:rPr>
          <w:rFonts w:hint="eastAsia"/>
          <w:sz w:val="32"/>
          <w:szCs w:val="32"/>
          <w:lang w:val="en-US" w:eastAsia="zh-CN"/>
        </w:rPr>
        <w:t>加强制度落实，严格按照制度要求支付资金，提高资金使用率。</w:t>
      </w:r>
    </w:p>
    <w:tbl>
      <w:tblPr>
        <w:tblStyle w:val="9"/>
        <w:tblW w:w="87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46"/>
        <w:gridCol w:w="577"/>
        <w:gridCol w:w="360"/>
        <w:gridCol w:w="1235"/>
        <w:gridCol w:w="240"/>
        <w:gridCol w:w="871"/>
        <w:gridCol w:w="255"/>
        <w:gridCol w:w="707"/>
        <w:gridCol w:w="707"/>
        <w:gridCol w:w="254"/>
        <w:gridCol w:w="366"/>
        <w:gridCol w:w="371"/>
        <w:gridCol w:w="295"/>
        <w:gridCol w:w="798"/>
        <w:gridCol w:w="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758" w:type="dxa"/>
            <w:gridSpan w:val="15"/>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center"/>
              <w:rPr>
                <w:color w:val="auto"/>
              </w:rPr>
            </w:pPr>
            <w:r>
              <w:rPr>
                <w:rFonts w:hint="eastAsia" w:ascii="方正小标宋简体" w:hAnsi="方正小标宋简体" w:eastAsia="方正小标宋简体" w:cs="方正小标宋简体"/>
                <w:color w:val="auto"/>
                <w:spacing w:val="20"/>
                <w:sz w:val="44"/>
                <w:szCs w:val="44"/>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8758" w:type="dxa"/>
            <w:gridSpan w:val="15"/>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center"/>
              <w:rPr>
                <w:color w:val="auto"/>
              </w:rPr>
            </w:pPr>
            <w:r>
              <w:rPr>
                <w:rFonts w:ascii="方正楷体简体" w:hAnsi="方正楷体简体" w:eastAsia="方正楷体简体" w:cs="方正楷体简体"/>
                <w:color w:val="auto"/>
                <w:sz w:val="32"/>
                <w:szCs w:val="32"/>
              </w:rPr>
              <w:t>（</w:t>
            </w:r>
            <w:r>
              <w:rPr>
                <w:rFonts w:hint="eastAsia" w:ascii="方正楷体简体" w:hAnsi="方正楷体简体" w:eastAsia="方正楷体简体" w:cs="方正楷体简体"/>
                <w:color w:val="auto"/>
                <w:sz w:val="32"/>
                <w:szCs w:val="32"/>
                <w:lang w:val="en-US" w:eastAsia="zh-CN"/>
              </w:rPr>
              <w:t>2022</w:t>
            </w:r>
            <w:r>
              <w:rPr>
                <w:rFonts w:hint="default" w:ascii="方正楷体简体" w:hAnsi="方正楷体简体" w:eastAsia="方正楷体简体" w:cs="方正楷体简体"/>
                <w:color w:val="auto"/>
                <w:sz w:val="32"/>
                <w:szCs w:val="32"/>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23"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default" w:ascii="方正楷体简体" w:hAnsi="方正楷体简体" w:eastAsia="方正楷体简体" w:cs="方正楷体简体"/>
                <w:color w:val="auto"/>
                <w:sz w:val="18"/>
                <w:szCs w:val="18"/>
              </w:rPr>
              <w:t>项目名称</w:t>
            </w:r>
          </w:p>
        </w:tc>
        <w:tc>
          <w:tcPr>
            <w:tcW w:w="7335" w:type="dxa"/>
            <w:gridSpan w:val="13"/>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医疗服务与保障能力提升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23"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主管部门及代码</w:t>
            </w:r>
          </w:p>
        </w:tc>
        <w:tc>
          <w:tcPr>
            <w:tcW w:w="3668" w:type="dxa"/>
            <w:gridSpan w:val="6"/>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内蒙古自治区锡林郭勒盟民政局</w:t>
            </w:r>
          </w:p>
        </w:tc>
        <w:tc>
          <w:tcPr>
            <w:tcW w:w="96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实施单位</w:t>
            </w:r>
          </w:p>
        </w:tc>
        <w:tc>
          <w:tcPr>
            <w:tcW w:w="2706" w:type="dxa"/>
            <w:gridSpan w:val="5"/>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锡林郭勒盟安神医院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23" w:type="dxa"/>
            <w:gridSpan w:val="2"/>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项目资金 （万元）</w:t>
            </w:r>
          </w:p>
        </w:tc>
        <w:tc>
          <w:tcPr>
            <w:tcW w:w="1595"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c>
          <w:tcPr>
            <w:tcW w:w="1111"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年初预算数</w:t>
            </w:r>
          </w:p>
        </w:tc>
        <w:tc>
          <w:tcPr>
            <w:tcW w:w="962"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全年预算数</w:t>
            </w:r>
          </w:p>
        </w:tc>
        <w:tc>
          <w:tcPr>
            <w:tcW w:w="961"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全年执行数</w:t>
            </w:r>
          </w:p>
        </w:tc>
        <w:tc>
          <w:tcPr>
            <w:tcW w:w="73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分值</w:t>
            </w:r>
          </w:p>
        </w:tc>
        <w:tc>
          <w:tcPr>
            <w:tcW w:w="109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执行率</w:t>
            </w: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23"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595"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年度资金总额</w:t>
            </w:r>
          </w:p>
        </w:tc>
        <w:tc>
          <w:tcPr>
            <w:tcW w:w="1111"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7.5</w:t>
            </w:r>
          </w:p>
        </w:tc>
        <w:tc>
          <w:tcPr>
            <w:tcW w:w="962"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eastAsia="zh-CN"/>
              </w:rPr>
              <w:t>7.5</w:t>
            </w:r>
            <w:r>
              <w:rPr>
                <w:rFonts w:hint="eastAsia" w:ascii="宋体" w:hAnsi="宋体" w:eastAsia="宋体" w:cs="宋体"/>
                <w:color w:val="auto"/>
                <w:sz w:val="18"/>
                <w:szCs w:val="18"/>
              </w:rPr>
              <w:t>　</w:t>
            </w:r>
          </w:p>
        </w:tc>
        <w:tc>
          <w:tcPr>
            <w:tcW w:w="961"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eastAsia="zh-CN"/>
              </w:rPr>
              <w:t>1.25</w:t>
            </w:r>
            <w:r>
              <w:rPr>
                <w:rFonts w:hint="eastAsia" w:ascii="宋体" w:hAnsi="宋体" w:eastAsia="宋体" w:cs="宋体"/>
                <w:color w:val="auto"/>
                <w:sz w:val="18"/>
                <w:szCs w:val="18"/>
              </w:rPr>
              <w:t>　</w:t>
            </w:r>
          </w:p>
        </w:tc>
        <w:tc>
          <w:tcPr>
            <w:tcW w:w="73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lang w:val="en-US"/>
              </w:rPr>
              <w:t>10</w:t>
            </w:r>
          </w:p>
        </w:tc>
        <w:tc>
          <w:tcPr>
            <w:tcW w:w="1093"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color w:val="auto"/>
                <w:lang w:val="en-US"/>
              </w:rPr>
            </w:pPr>
            <w:r>
              <w:rPr>
                <w:rFonts w:hint="eastAsia" w:ascii="宋体" w:hAnsi="宋体" w:eastAsia="宋体" w:cs="宋体"/>
                <w:color w:val="auto"/>
                <w:sz w:val="18"/>
                <w:szCs w:val="18"/>
                <w:lang w:val="en-US" w:eastAsia="zh-CN"/>
              </w:rPr>
              <w:t>16.67%</w:t>
            </w: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lang w:val="en-US" w:eastAsia="zh-CN"/>
              </w:rPr>
              <w:t>1.67</w:t>
            </w:r>
            <w:r>
              <w:rPr>
                <w:rFonts w:hint="eastAsia" w:ascii="宋体" w:hAnsi="宋体" w:eastAsia="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23"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595"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其中：财政拨款</w:t>
            </w:r>
          </w:p>
        </w:tc>
        <w:tc>
          <w:tcPr>
            <w:tcW w:w="1111"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7.5</w:t>
            </w:r>
          </w:p>
        </w:tc>
        <w:tc>
          <w:tcPr>
            <w:tcW w:w="962"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7.5</w:t>
            </w:r>
          </w:p>
        </w:tc>
        <w:tc>
          <w:tcPr>
            <w:tcW w:w="961"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1.25</w:t>
            </w:r>
          </w:p>
        </w:tc>
        <w:tc>
          <w:tcPr>
            <w:tcW w:w="73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ascii="Courier New" w:hAnsi="Courier New" w:cs="Courier New"/>
                <w:color w:val="auto"/>
                <w:sz w:val="18"/>
                <w:szCs w:val="18"/>
                <w:lang w:val="en-US"/>
              </w:rPr>
              <w:t>-</w:t>
            </w:r>
          </w:p>
        </w:tc>
        <w:tc>
          <w:tcPr>
            <w:tcW w:w="1093"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16.67%</w:t>
            </w: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default" w:ascii="Courier New" w:hAnsi="Courier New" w:cs="Courier New"/>
                <w:color w:val="auto"/>
                <w:sz w:val="18"/>
                <w:szCs w:val="18"/>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23"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595"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rPr>
              <w:t>  </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其他资金</w:t>
            </w:r>
          </w:p>
        </w:tc>
        <w:tc>
          <w:tcPr>
            <w:tcW w:w="1111"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c>
          <w:tcPr>
            <w:tcW w:w="962"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c>
          <w:tcPr>
            <w:tcW w:w="961"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c>
          <w:tcPr>
            <w:tcW w:w="73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default" w:ascii="Courier New" w:hAnsi="Courier New" w:cs="Courier New"/>
                <w:color w:val="auto"/>
                <w:sz w:val="18"/>
                <w:szCs w:val="18"/>
                <w:lang w:val="en-US"/>
              </w:rPr>
              <w:t>-</w:t>
            </w:r>
          </w:p>
        </w:tc>
        <w:tc>
          <w:tcPr>
            <w:tcW w:w="1093"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default" w:ascii="Courier New" w:hAnsi="Courier New" w:cs="Courier New"/>
                <w:color w:val="auto"/>
                <w:sz w:val="18"/>
                <w:szCs w:val="18"/>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84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lang w:val="en-US"/>
              </w:rPr>
              <w:t>年度总体目标</w:t>
            </w:r>
          </w:p>
        </w:tc>
        <w:tc>
          <w:tcPr>
            <w:tcW w:w="4245" w:type="dxa"/>
            <w:gridSpan w:val="7"/>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预期目标</w:t>
            </w:r>
          </w:p>
        </w:tc>
        <w:tc>
          <w:tcPr>
            <w:tcW w:w="3667" w:type="dxa"/>
            <w:gridSpan w:val="7"/>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4245" w:type="dxa"/>
            <w:gridSpan w:val="7"/>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按期完成精神科医师转岗培训工作提升医师治疗水平提高患者康复率</w:t>
            </w:r>
          </w:p>
        </w:tc>
        <w:tc>
          <w:tcPr>
            <w:tcW w:w="3667" w:type="dxa"/>
            <w:gridSpan w:val="7"/>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开展精神科医师转岗培训，并对培训学员进行授课，但因疫情原因，授课时长不足，未能全额支出资金。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84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绩</w:t>
            </w:r>
            <w:r>
              <w:rPr>
                <w:rFonts w:hint="eastAsia" w:ascii="宋体" w:hAnsi="宋体" w:eastAsia="宋体" w:cs="宋体"/>
                <w:color w:val="auto"/>
                <w:sz w:val="18"/>
                <w:szCs w:val="18"/>
                <w:lang w:val="en-US"/>
              </w:rPr>
              <w:t xml:space="preserve">  </w:t>
            </w:r>
            <w:r>
              <w:rPr>
                <w:rFonts w:hint="eastAsia" w:ascii="宋体" w:hAnsi="宋体" w:eastAsia="宋体" w:cs="宋体"/>
                <w:color w:val="auto"/>
                <w:sz w:val="18"/>
                <w:szCs w:val="18"/>
              </w:rPr>
              <w:t>效</w:t>
            </w:r>
            <w:r>
              <w:rPr>
                <w:rFonts w:hint="eastAsia" w:ascii="宋体" w:hAnsi="宋体" w:eastAsia="宋体" w:cs="宋体"/>
                <w:color w:val="auto"/>
                <w:sz w:val="18"/>
                <w:szCs w:val="18"/>
                <w:lang w:val="en-US"/>
              </w:rPr>
              <w:t xml:space="preserve"> </w:t>
            </w:r>
            <w:r>
              <w:rPr>
                <w:rFonts w:hint="eastAsia" w:ascii="宋体" w:hAnsi="宋体" w:eastAsia="宋体" w:cs="宋体"/>
                <w:color w:val="auto"/>
                <w:sz w:val="18"/>
                <w:szCs w:val="18"/>
              </w:rPr>
              <w:t>指</w:t>
            </w:r>
            <w:r>
              <w:rPr>
                <w:rFonts w:hint="eastAsia" w:ascii="宋体" w:hAnsi="宋体" w:eastAsia="宋体" w:cs="宋体"/>
                <w:color w:val="auto"/>
                <w:sz w:val="18"/>
                <w:szCs w:val="18"/>
                <w:lang w:val="en-US"/>
              </w:rPr>
              <w:t xml:space="preserve">  </w:t>
            </w:r>
            <w:r>
              <w:rPr>
                <w:rFonts w:hint="eastAsia" w:ascii="宋体" w:hAnsi="宋体" w:eastAsia="宋体" w:cs="宋体"/>
                <w:color w:val="auto"/>
                <w:sz w:val="18"/>
                <w:szCs w:val="18"/>
              </w:rPr>
              <w:t>标（</w:t>
            </w:r>
            <w:r>
              <w:rPr>
                <w:rFonts w:hint="eastAsia" w:ascii="宋体" w:hAnsi="宋体" w:eastAsia="宋体" w:cs="宋体"/>
                <w:color w:val="auto"/>
                <w:sz w:val="18"/>
                <w:szCs w:val="18"/>
                <w:lang w:val="en-US"/>
              </w:rPr>
              <w:t>90</w:t>
            </w:r>
            <w:r>
              <w:rPr>
                <w:rFonts w:hint="eastAsia" w:ascii="宋体" w:hAnsi="宋体" w:eastAsia="宋体" w:cs="宋体"/>
                <w:color w:val="auto"/>
                <w:sz w:val="18"/>
                <w:szCs w:val="18"/>
              </w:rPr>
              <w:t>）</w:t>
            </w:r>
          </w:p>
        </w:tc>
        <w:tc>
          <w:tcPr>
            <w:tcW w:w="93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一级指标</w:t>
            </w:r>
          </w:p>
        </w:tc>
        <w:tc>
          <w:tcPr>
            <w:tcW w:w="147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二级指标</w:t>
            </w:r>
          </w:p>
        </w:tc>
        <w:tc>
          <w:tcPr>
            <w:tcW w:w="112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三级指标</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年度指标值</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实际完成值</w:t>
            </w:r>
          </w:p>
        </w:tc>
        <w:tc>
          <w:tcPr>
            <w:tcW w:w="62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分值</w:t>
            </w:r>
          </w:p>
        </w:tc>
        <w:tc>
          <w:tcPr>
            <w:tcW w:w="66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得分</w:t>
            </w:r>
          </w:p>
        </w:tc>
        <w:tc>
          <w:tcPr>
            <w:tcW w:w="167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7"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产出指标（</w:t>
            </w:r>
            <w:r>
              <w:rPr>
                <w:rFonts w:hint="eastAsia" w:ascii="宋体" w:hAnsi="宋体" w:eastAsia="宋体" w:cs="宋体"/>
                <w:color w:val="auto"/>
                <w:sz w:val="18"/>
                <w:szCs w:val="18"/>
                <w:lang w:val="en-US"/>
              </w:rPr>
              <w:t>50</w:t>
            </w:r>
            <w:r>
              <w:rPr>
                <w:rFonts w:hint="eastAsia" w:ascii="宋体" w:hAnsi="宋体" w:eastAsia="宋体" w:cs="宋体"/>
                <w:color w:val="auto"/>
                <w:sz w:val="18"/>
                <w:szCs w:val="18"/>
              </w:rPr>
              <w:t>）</w:t>
            </w:r>
          </w:p>
        </w:tc>
        <w:tc>
          <w:tcPr>
            <w:tcW w:w="1475"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数量指标</w:t>
            </w:r>
          </w:p>
        </w:tc>
        <w:tc>
          <w:tcPr>
            <w:tcW w:w="112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培训人数</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5人</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eastAsia="宋体"/>
                <w:color w:val="auto"/>
                <w:lang w:val="en-US" w:eastAsia="zh-CN"/>
              </w:rPr>
            </w:pPr>
            <w:r>
              <w:rPr>
                <w:rFonts w:hint="eastAsia" w:ascii="宋体" w:hAnsi="宋体" w:eastAsia="宋体" w:cs="宋体"/>
                <w:color w:val="auto"/>
                <w:sz w:val="18"/>
                <w:szCs w:val="18"/>
                <w:lang w:val="en-US" w:eastAsia="zh-CN"/>
              </w:rPr>
              <w:t>5人</w:t>
            </w:r>
          </w:p>
        </w:tc>
        <w:tc>
          <w:tcPr>
            <w:tcW w:w="62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10</w:t>
            </w:r>
          </w:p>
        </w:tc>
        <w:tc>
          <w:tcPr>
            <w:tcW w:w="66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eastAsia="zh-CN"/>
              </w:rPr>
              <w:t>10</w:t>
            </w:r>
            <w:r>
              <w:rPr>
                <w:rFonts w:hint="eastAsia" w:ascii="宋体" w:hAnsi="宋体" w:eastAsia="宋体" w:cs="宋体"/>
                <w:color w:val="auto"/>
                <w:sz w:val="18"/>
                <w:szCs w:val="18"/>
              </w:rPr>
              <w:t>　</w:t>
            </w:r>
          </w:p>
        </w:tc>
        <w:tc>
          <w:tcPr>
            <w:tcW w:w="167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7"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475"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12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培训次数</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200天</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eastAsia="zh-CN"/>
              </w:rPr>
              <w:t>140天</w:t>
            </w:r>
            <w:r>
              <w:rPr>
                <w:rFonts w:hint="eastAsia" w:ascii="宋体" w:hAnsi="宋体" w:eastAsia="宋体" w:cs="宋体"/>
                <w:color w:val="auto"/>
                <w:sz w:val="18"/>
                <w:szCs w:val="18"/>
                <w:lang w:val="en-US"/>
              </w:rPr>
              <w:t> </w:t>
            </w:r>
          </w:p>
        </w:tc>
        <w:tc>
          <w:tcPr>
            <w:tcW w:w="62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eastAsia="宋体"/>
                <w:color w:val="auto"/>
                <w:lang w:val="en-US" w:eastAsia="zh-CN"/>
              </w:rPr>
            </w:pPr>
            <w:r>
              <w:rPr>
                <w:rFonts w:hint="eastAsia" w:ascii="宋体" w:hAnsi="宋体" w:eastAsia="宋体" w:cs="宋体"/>
                <w:color w:val="auto"/>
                <w:sz w:val="18"/>
                <w:szCs w:val="18"/>
                <w:lang w:val="en-US" w:eastAsia="zh-CN"/>
              </w:rPr>
              <w:t>5</w:t>
            </w:r>
            <w:r>
              <w:rPr>
                <w:rFonts w:hint="eastAsia" w:ascii="宋体" w:hAnsi="宋体" w:eastAsia="宋体" w:cs="宋体"/>
                <w:color w:val="auto"/>
                <w:sz w:val="18"/>
                <w:szCs w:val="18"/>
                <w:lang w:val="en-US"/>
              </w:rPr>
              <w:t> </w:t>
            </w:r>
          </w:p>
        </w:tc>
        <w:tc>
          <w:tcPr>
            <w:tcW w:w="66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rPr>
              <w:t> </w:t>
            </w:r>
            <w:r>
              <w:rPr>
                <w:rFonts w:hint="eastAsia" w:ascii="宋体" w:hAnsi="宋体" w:eastAsia="宋体" w:cs="宋体"/>
                <w:color w:val="auto"/>
                <w:sz w:val="18"/>
                <w:szCs w:val="18"/>
                <w:lang w:val="en-US" w:eastAsia="zh-CN"/>
              </w:rPr>
              <w:t>3.5</w:t>
            </w:r>
          </w:p>
        </w:tc>
        <w:tc>
          <w:tcPr>
            <w:tcW w:w="167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因疫情原因医院全面封闭式管理，无法开展教学。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7"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475"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质量指标</w:t>
            </w:r>
          </w:p>
        </w:tc>
        <w:tc>
          <w:tcPr>
            <w:tcW w:w="112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培训结业合格率</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95%</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100%</w:t>
            </w:r>
          </w:p>
        </w:tc>
        <w:tc>
          <w:tcPr>
            <w:tcW w:w="62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10</w:t>
            </w:r>
          </w:p>
        </w:tc>
        <w:tc>
          <w:tcPr>
            <w:tcW w:w="66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eastAsia="zh-CN"/>
              </w:rPr>
              <w:t>10</w:t>
            </w:r>
            <w:r>
              <w:rPr>
                <w:rFonts w:hint="eastAsia" w:ascii="宋体" w:hAnsi="宋体" w:eastAsia="宋体" w:cs="宋体"/>
                <w:color w:val="auto"/>
                <w:sz w:val="18"/>
                <w:szCs w:val="18"/>
              </w:rPr>
              <w:t>　</w:t>
            </w:r>
          </w:p>
        </w:tc>
        <w:tc>
          <w:tcPr>
            <w:tcW w:w="167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7"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475"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12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培训学员出勤率</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95%</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90%</w:t>
            </w:r>
          </w:p>
        </w:tc>
        <w:tc>
          <w:tcPr>
            <w:tcW w:w="62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5</w:t>
            </w:r>
          </w:p>
        </w:tc>
        <w:tc>
          <w:tcPr>
            <w:tcW w:w="66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eastAsia="zh-CN"/>
              </w:rPr>
              <w:t>4.74</w:t>
            </w:r>
            <w:r>
              <w:rPr>
                <w:rFonts w:hint="eastAsia" w:ascii="宋体" w:hAnsi="宋体" w:eastAsia="宋体" w:cs="宋体"/>
                <w:color w:val="auto"/>
                <w:sz w:val="18"/>
                <w:szCs w:val="18"/>
              </w:rPr>
              <w:t>　</w:t>
            </w:r>
          </w:p>
        </w:tc>
        <w:tc>
          <w:tcPr>
            <w:tcW w:w="167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eastAsia="zh-CN"/>
              </w:rPr>
              <w:t>因疫情封闭原因，部分学员无法按时出勤。</w:t>
            </w:r>
            <w:r>
              <w:rPr>
                <w:rFonts w:hint="eastAsia" w:ascii="宋体" w:hAnsi="宋体" w:eastAsia="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7"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475"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时效指标</w:t>
            </w:r>
          </w:p>
        </w:tc>
        <w:tc>
          <w:tcPr>
            <w:tcW w:w="112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培训期限</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1年</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1年</w:t>
            </w:r>
          </w:p>
        </w:tc>
        <w:tc>
          <w:tcPr>
            <w:tcW w:w="62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5</w:t>
            </w:r>
          </w:p>
        </w:tc>
        <w:tc>
          <w:tcPr>
            <w:tcW w:w="66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5</w:t>
            </w:r>
          </w:p>
        </w:tc>
        <w:tc>
          <w:tcPr>
            <w:tcW w:w="167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7"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475"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12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培训费结算时间</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1年</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1年</w:t>
            </w:r>
          </w:p>
        </w:tc>
        <w:tc>
          <w:tcPr>
            <w:tcW w:w="62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5</w:t>
            </w:r>
          </w:p>
        </w:tc>
        <w:tc>
          <w:tcPr>
            <w:tcW w:w="66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eastAsia="zh-CN"/>
              </w:rPr>
              <w:t>5</w:t>
            </w:r>
            <w:r>
              <w:rPr>
                <w:rFonts w:hint="eastAsia" w:ascii="宋体" w:hAnsi="宋体" w:eastAsia="宋体" w:cs="宋体"/>
                <w:color w:val="auto"/>
                <w:sz w:val="18"/>
                <w:szCs w:val="18"/>
              </w:rPr>
              <w:t>　</w:t>
            </w:r>
          </w:p>
        </w:tc>
        <w:tc>
          <w:tcPr>
            <w:tcW w:w="167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7"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475"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成本指标</w:t>
            </w:r>
          </w:p>
        </w:tc>
        <w:tc>
          <w:tcPr>
            <w:tcW w:w="112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培训费</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7.5</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eastAsia="zh-CN"/>
              </w:rPr>
              <w:t>1.25</w:t>
            </w:r>
            <w:r>
              <w:rPr>
                <w:rFonts w:hint="eastAsia" w:ascii="宋体" w:hAnsi="宋体" w:eastAsia="宋体" w:cs="宋体"/>
                <w:color w:val="auto"/>
                <w:sz w:val="18"/>
                <w:szCs w:val="18"/>
              </w:rPr>
              <w:t>　</w:t>
            </w:r>
          </w:p>
        </w:tc>
        <w:tc>
          <w:tcPr>
            <w:tcW w:w="62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5</w:t>
            </w:r>
          </w:p>
        </w:tc>
        <w:tc>
          <w:tcPr>
            <w:tcW w:w="66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eastAsia="zh-CN"/>
              </w:rPr>
              <w:t>0.83</w:t>
            </w:r>
            <w:r>
              <w:rPr>
                <w:rFonts w:hint="eastAsia" w:ascii="宋体" w:hAnsi="宋体" w:eastAsia="宋体" w:cs="宋体"/>
                <w:color w:val="auto"/>
                <w:sz w:val="18"/>
                <w:szCs w:val="18"/>
              </w:rPr>
              <w:t>　</w:t>
            </w:r>
          </w:p>
        </w:tc>
        <w:tc>
          <w:tcPr>
            <w:tcW w:w="167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color w:val="auto"/>
                <w:lang w:val="en-US"/>
              </w:rPr>
            </w:pPr>
            <w:r>
              <w:rPr>
                <w:rFonts w:hint="eastAsia" w:ascii="宋体" w:hAnsi="宋体" w:eastAsia="宋体" w:cs="宋体"/>
                <w:color w:val="auto"/>
                <w:sz w:val="18"/>
                <w:szCs w:val="18"/>
                <w:lang w:val="en-US" w:eastAsia="zh-CN"/>
              </w:rPr>
              <w:t>因疫情原因医院全面封闭式管理，无法开展教学任务，导致未能支出培训费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7"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475"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12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节约成本率</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0.1%</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16%</w:t>
            </w:r>
          </w:p>
        </w:tc>
        <w:tc>
          <w:tcPr>
            <w:tcW w:w="62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5</w:t>
            </w:r>
          </w:p>
        </w:tc>
        <w:tc>
          <w:tcPr>
            <w:tcW w:w="66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eastAsia="zh-CN"/>
              </w:rPr>
              <w:t>5</w:t>
            </w:r>
            <w:r>
              <w:rPr>
                <w:rFonts w:hint="eastAsia" w:ascii="宋体" w:hAnsi="宋体" w:eastAsia="宋体" w:cs="宋体"/>
                <w:color w:val="auto"/>
                <w:sz w:val="18"/>
                <w:szCs w:val="18"/>
              </w:rPr>
              <w:t>　</w:t>
            </w:r>
          </w:p>
        </w:tc>
        <w:tc>
          <w:tcPr>
            <w:tcW w:w="167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7" w:type="dxa"/>
            <w:gridSpan w:val="2"/>
            <w:vMerge w:val="restart"/>
            <w:tcBorders>
              <w:top w:val="nil"/>
              <w:left w:val="nil"/>
              <w:right w:val="single" w:color="auto" w:sz="8" w:space="0"/>
            </w:tcBorders>
            <w:shd w:val="clear" w:color="auto" w:fill="auto"/>
            <w:tcMar>
              <w:left w:w="108" w:type="dxa"/>
              <w:right w:w="108" w:type="dxa"/>
            </w:tcMar>
            <w:vAlign w:val="center"/>
          </w:tcPr>
          <w:p>
            <w:pPr>
              <w:jc w:val="center"/>
              <w:rPr>
                <w:rFonts w:hint="eastAsia" w:ascii="宋体" w:eastAsia="宋体"/>
                <w:color w:val="auto"/>
                <w:sz w:val="24"/>
                <w:szCs w:val="24"/>
                <w:lang w:eastAsia="zh-CN"/>
              </w:rPr>
            </w:pPr>
            <w:r>
              <w:rPr>
                <w:rFonts w:hint="eastAsia" w:ascii="宋体" w:hAnsi="宋体" w:eastAsia="宋体" w:cs="宋体"/>
                <w:color w:val="auto"/>
                <w:sz w:val="18"/>
                <w:szCs w:val="18"/>
              </w:rPr>
              <w:t>效益指标（</w:t>
            </w:r>
            <w:r>
              <w:rPr>
                <w:rFonts w:hint="eastAsia" w:ascii="宋体" w:hAnsi="宋体" w:eastAsia="宋体" w:cs="宋体"/>
                <w:color w:val="auto"/>
                <w:sz w:val="18"/>
                <w:szCs w:val="18"/>
                <w:lang w:val="en-US"/>
              </w:rPr>
              <w:t>30</w:t>
            </w:r>
            <w:r>
              <w:rPr>
                <w:rFonts w:hint="eastAsia" w:ascii="宋体" w:hAnsi="宋体" w:eastAsia="宋体" w:cs="宋体"/>
                <w:color w:val="auto"/>
                <w:sz w:val="18"/>
                <w:szCs w:val="18"/>
                <w:lang w:val="en-US" w:eastAsia="zh-CN"/>
              </w:rPr>
              <w:t>）</w:t>
            </w:r>
          </w:p>
        </w:tc>
        <w:tc>
          <w:tcPr>
            <w:tcW w:w="147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社会效益指标</w:t>
            </w:r>
          </w:p>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lang w:val="en-US"/>
              </w:rPr>
              <w:t> </w:t>
            </w:r>
          </w:p>
        </w:tc>
        <w:tc>
          <w:tcPr>
            <w:tcW w:w="112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提升精神科医师治疗水平</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有所提升</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有所提升</w:t>
            </w:r>
          </w:p>
        </w:tc>
        <w:tc>
          <w:tcPr>
            <w:tcW w:w="62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rFonts w:hint="default" w:eastAsia="宋体"/>
                <w:color w:val="auto"/>
                <w:lang w:val="en-US" w:eastAsia="zh-CN"/>
              </w:rPr>
            </w:pPr>
            <w:r>
              <w:rPr>
                <w:rFonts w:hint="eastAsia" w:ascii="宋体" w:hAnsi="宋体" w:eastAsia="宋体" w:cs="宋体"/>
                <w:color w:val="auto"/>
                <w:sz w:val="18"/>
                <w:szCs w:val="18"/>
                <w:lang w:val="en-US" w:eastAsia="zh-CN"/>
              </w:rPr>
              <w:t>15</w:t>
            </w:r>
            <w:r>
              <w:rPr>
                <w:rFonts w:hint="eastAsia" w:ascii="宋体" w:hAnsi="宋体" w:eastAsia="宋体" w:cs="宋体"/>
                <w:color w:val="auto"/>
                <w:sz w:val="18"/>
                <w:szCs w:val="18"/>
              </w:rPr>
              <w:t>　</w:t>
            </w:r>
          </w:p>
        </w:tc>
        <w:tc>
          <w:tcPr>
            <w:tcW w:w="66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color w:val="auto"/>
              </w:rPr>
            </w:pPr>
            <w:r>
              <w:rPr>
                <w:rFonts w:hint="eastAsia" w:ascii="宋体" w:hAnsi="宋体" w:eastAsia="宋体" w:cs="宋体"/>
                <w:color w:val="auto"/>
                <w:sz w:val="18"/>
                <w:szCs w:val="18"/>
                <w:lang w:val="en-US" w:eastAsia="zh-CN"/>
              </w:rPr>
              <w:t>15</w:t>
            </w:r>
            <w:r>
              <w:rPr>
                <w:rFonts w:hint="eastAsia" w:ascii="宋体" w:hAnsi="宋体" w:eastAsia="宋体" w:cs="宋体"/>
                <w:color w:val="auto"/>
                <w:sz w:val="18"/>
                <w:szCs w:val="18"/>
              </w:rPr>
              <w:t>　</w:t>
            </w:r>
          </w:p>
        </w:tc>
        <w:tc>
          <w:tcPr>
            <w:tcW w:w="167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7" w:type="dxa"/>
            <w:gridSpan w:val="2"/>
            <w:vMerge w:val="continue"/>
            <w:tcBorders>
              <w:left w:val="nil"/>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47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可持续影响 指</w:t>
            </w:r>
            <w:r>
              <w:rPr>
                <w:rFonts w:hint="eastAsia" w:ascii="宋体" w:hAnsi="宋体" w:eastAsia="宋体" w:cs="宋体"/>
                <w:color w:val="auto"/>
                <w:sz w:val="18"/>
                <w:szCs w:val="18"/>
                <w:lang w:val="en-US"/>
              </w:rPr>
              <w:t xml:space="preserve">    </w:t>
            </w:r>
            <w:r>
              <w:rPr>
                <w:rFonts w:hint="eastAsia" w:ascii="宋体" w:hAnsi="宋体" w:eastAsia="宋体" w:cs="宋体"/>
                <w:color w:val="auto"/>
                <w:sz w:val="18"/>
                <w:szCs w:val="18"/>
              </w:rPr>
              <w:t>标</w:t>
            </w:r>
          </w:p>
        </w:tc>
        <w:tc>
          <w:tcPr>
            <w:tcW w:w="112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通过医师培训提高治疗水平提升患者康复率</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color w:val="auto"/>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有所提升</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color w:val="auto"/>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有所提升</w:t>
            </w:r>
          </w:p>
        </w:tc>
        <w:tc>
          <w:tcPr>
            <w:tcW w:w="62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color w:val="auto"/>
              </w:rPr>
            </w:pPr>
            <w:r>
              <w:rPr>
                <w:rFonts w:hint="eastAsia" w:ascii="宋体" w:hAnsi="宋体" w:eastAsia="宋体" w:cs="宋体"/>
                <w:color w:val="auto"/>
                <w:sz w:val="18"/>
                <w:szCs w:val="18"/>
                <w:lang w:val="en-US" w:eastAsia="zh-CN"/>
              </w:rPr>
              <w:t>15</w:t>
            </w:r>
            <w:r>
              <w:rPr>
                <w:rFonts w:hint="eastAsia" w:ascii="宋体" w:hAnsi="宋体" w:eastAsia="宋体" w:cs="宋体"/>
                <w:color w:val="auto"/>
                <w:sz w:val="18"/>
                <w:szCs w:val="18"/>
              </w:rPr>
              <w:t>　</w:t>
            </w:r>
          </w:p>
        </w:tc>
        <w:tc>
          <w:tcPr>
            <w:tcW w:w="66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color w:val="auto"/>
              </w:rPr>
            </w:pPr>
            <w:r>
              <w:rPr>
                <w:rFonts w:hint="eastAsia" w:ascii="宋体" w:hAnsi="宋体" w:eastAsia="宋体" w:cs="宋体"/>
                <w:color w:val="auto"/>
                <w:sz w:val="18"/>
                <w:szCs w:val="18"/>
                <w:lang w:val="en-US" w:eastAsia="zh-CN"/>
              </w:rPr>
              <w:t>15</w:t>
            </w:r>
            <w:r>
              <w:rPr>
                <w:rFonts w:hint="eastAsia" w:ascii="宋体" w:hAnsi="宋体" w:eastAsia="宋体" w:cs="宋体"/>
                <w:color w:val="auto"/>
                <w:sz w:val="18"/>
                <w:szCs w:val="18"/>
              </w:rPr>
              <w:t>　</w:t>
            </w:r>
          </w:p>
        </w:tc>
        <w:tc>
          <w:tcPr>
            <w:tcW w:w="167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满意度 指</w:t>
            </w:r>
            <w:r>
              <w:rPr>
                <w:rFonts w:hint="eastAsia" w:ascii="宋体" w:hAnsi="宋体" w:eastAsia="宋体" w:cs="宋体"/>
                <w:color w:val="auto"/>
                <w:sz w:val="18"/>
                <w:szCs w:val="18"/>
                <w:lang w:val="en-US"/>
              </w:rPr>
              <w:t xml:space="preserve">  </w:t>
            </w:r>
            <w:r>
              <w:rPr>
                <w:rFonts w:hint="eastAsia" w:ascii="宋体" w:hAnsi="宋体" w:eastAsia="宋体" w:cs="宋体"/>
                <w:color w:val="auto"/>
                <w:sz w:val="18"/>
                <w:szCs w:val="18"/>
              </w:rPr>
              <w:t>标（</w:t>
            </w:r>
            <w:r>
              <w:rPr>
                <w:rFonts w:hint="eastAsia" w:ascii="宋体" w:hAnsi="宋体" w:eastAsia="宋体" w:cs="宋体"/>
                <w:color w:val="auto"/>
                <w:sz w:val="18"/>
                <w:szCs w:val="18"/>
                <w:lang w:val="en-US"/>
              </w:rPr>
              <w:t>10</w:t>
            </w:r>
            <w:r>
              <w:rPr>
                <w:rFonts w:hint="eastAsia" w:ascii="宋体" w:hAnsi="宋体" w:eastAsia="宋体" w:cs="宋体"/>
                <w:color w:val="auto"/>
                <w:sz w:val="18"/>
                <w:szCs w:val="18"/>
              </w:rPr>
              <w:t>）</w:t>
            </w:r>
          </w:p>
        </w:tc>
        <w:tc>
          <w:tcPr>
            <w:tcW w:w="147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服务对象 满意度指标</w:t>
            </w:r>
          </w:p>
        </w:tc>
        <w:tc>
          <w:tcPr>
            <w:tcW w:w="112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参与培训人员满意度</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90%</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95%</w:t>
            </w:r>
          </w:p>
        </w:tc>
        <w:tc>
          <w:tcPr>
            <w:tcW w:w="62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10</w:t>
            </w:r>
          </w:p>
        </w:tc>
        <w:tc>
          <w:tcPr>
            <w:tcW w:w="66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eastAsia="zh-CN"/>
              </w:rPr>
              <w:t>10</w:t>
            </w:r>
            <w:r>
              <w:rPr>
                <w:rFonts w:hint="eastAsia" w:ascii="宋体" w:hAnsi="宋体" w:eastAsia="宋体" w:cs="宋体"/>
                <w:color w:val="auto"/>
                <w:sz w:val="18"/>
                <w:szCs w:val="18"/>
              </w:rPr>
              <w:t>　</w:t>
            </w:r>
          </w:p>
        </w:tc>
        <w:tc>
          <w:tcPr>
            <w:tcW w:w="167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798" w:type="dxa"/>
            <w:gridSpan w:val="9"/>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总</w:t>
            </w:r>
            <w:r>
              <w:rPr>
                <w:rFonts w:hint="eastAsia" w:ascii="宋体" w:hAnsi="宋体" w:eastAsia="宋体" w:cs="宋体"/>
                <w:color w:val="auto"/>
                <w:sz w:val="18"/>
                <w:szCs w:val="18"/>
                <w:lang w:val="en-US"/>
              </w:rPr>
              <w:t xml:space="preserve">    </w:t>
            </w:r>
            <w:r>
              <w:rPr>
                <w:rFonts w:hint="eastAsia" w:ascii="宋体" w:hAnsi="宋体" w:eastAsia="宋体" w:cs="宋体"/>
                <w:color w:val="auto"/>
                <w:sz w:val="18"/>
                <w:szCs w:val="18"/>
              </w:rPr>
              <w:t>分</w:t>
            </w:r>
          </w:p>
        </w:tc>
        <w:tc>
          <w:tcPr>
            <w:tcW w:w="62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lang w:val="en-US"/>
              </w:rPr>
              <w:t>100</w:t>
            </w:r>
          </w:p>
        </w:tc>
        <w:tc>
          <w:tcPr>
            <w:tcW w:w="66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85.74</w:t>
            </w:r>
          </w:p>
        </w:tc>
        <w:tc>
          <w:tcPr>
            <w:tcW w:w="167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846"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577"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360"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1235"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240"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871"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255"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707"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707"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254"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366"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371"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295"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798"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876"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r>
    </w:tbl>
    <w:p>
      <w:pPr>
        <w:keepNext w:val="0"/>
        <w:keepLines w:val="0"/>
        <w:widowControl/>
        <w:suppressLineNumbers w:val="0"/>
        <w:spacing w:before="0" w:beforeAutospacing="1" w:after="0" w:afterAutospacing="1" w:line="560" w:lineRule="atLeast"/>
        <w:ind w:left="0" w:right="0" w:firstLine="640"/>
        <w:jc w:val="both"/>
        <w:rPr>
          <w:color w:val="0000FF"/>
          <w:sz w:val="32"/>
          <w:szCs w:val="32"/>
        </w:rPr>
      </w:pPr>
    </w:p>
    <w:p>
      <w:pPr>
        <w:keepNext w:val="0"/>
        <w:keepLines w:val="0"/>
        <w:widowControl/>
        <w:suppressLineNumbers w:val="0"/>
        <w:spacing w:before="0" w:beforeAutospacing="1" w:after="0" w:afterAutospacing="1" w:line="560" w:lineRule="atLeast"/>
        <w:ind w:left="0" w:right="0" w:firstLine="640"/>
        <w:jc w:val="both"/>
        <w:rPr>
          <w:color w:val="0000FF"/>
          <w:sz w:val="32"/>
          <w:szCs w:val="32"/>
        </w:rPr>
      </w:pPr>
    </w:p>
    <w:tbl>
      <w:tblPr>
        <w:tblStyle w:val="9"/>
        <w:tblW w:w="87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46"/>
        <w:gridCol w:w="573"/>
        <w:gridCol w:w="360"/>
        <w:gridCol w:w="1224"/>
        <w:gridCol w:w="64"/>
        <w:gridCol w:w="26"/>
        <w:gridCol w:w="1000"/>
        <w:gridCol w:w="26"/>
        <w:gridCol w:w="228"/>
        <w:gridCol w:w="26"/>
        <w:gridCol w:w="676"/>
        <w:gridCol w:w="26"/>
        <w:gridCol w:w="702"/>
        <w:gridCol w:w="122"/>
        <w:gridCol w:w="106"/>
        <w:gridCol w:w="26"/>
        <w:gridCol w:w="335"/>
        <w:gridCol w:w="26"/>
        <w:gridCol w:w="362"/>
        <w:gridCol w:w="26"/>
        <w:gridCol w:w="342"/>
        <w:gridCol w:w="26"/>
        <w:gridCol w:w="752"/>
        <w:gridCol w:w="26"/>
        <w:gridCol w:w="832"/>
        <w:gridCol w:w="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6" w:type="dxa"/>
          <w:jc w:val="center"/>
        </w:trPr>
        <w:tc>
          <w:tcPr>
            <w:tcW w:w="8758" w:type="dxa"/>
            <w:gridSpan w:val="25"/>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center"/>
              <w:rPr>
                <w:color w:val="auto"/>
              </w:rPr>
            </w:pPr>
            <w:r>
              <w:rPr>
                <w:rFonts w:hint="eastAsia" w:ascii="方正小标宋简体" w:hAnsi="方正小标宋简体" w:eastAsia="方正小标宋简体" w:cs="方正小标宋简体"/>
                <w:color w:val="auto"/>
                <w:spacing w:val="20"/>
                <w:sz w:val="44"/>
                <w:szCs w:val="44"/>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6" w:type="dxa"/>
          <w:jc w:val="center"/>
        </w:trPr>
        <w:tc>
          <w:tcPr>
            <w:tcW w:w="8758" w:type="dxa"/>
            <w:gridSpan w:val="25"/>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center"/>
              <w:rPr>
                <w:color w:val="auto"/>
              </w:rPr>
            </w:pPr>
            <w:r>
              <w:rPr>
                <w:rFonts w:ascii="方正楷体简体" w:hAnsi="方正楷体简体" w:eastAsia="方正楷体简体" w:cs="方正楷体简体"/>
                <w:color w:val="auto"/>
                <w:sz w:val="32"/>
                <w:szCs w:val="32"/>
              </w:rPr>
              <w:t>（</w:t>
            </w:r>
            <w:r>
              <w:rPr>
                <w:rFonts w:hint="eastAsia" w:ascii="方正楷体简体" w:hAnsi="方正楷体简体" w:eastAsia="方正楷体简体" w:cs="方正楷体简体"/>
                <w:color w:val="auto"/>
                <w:sz w:val="32"/>
                <w:szCs w:val="32"/>
                <w:lang w:val="en-US" w:eastAsia="zh-CN"/>
              </w:rPr>
              <w:t>2022</w:t>
            </w:r>
            <w:r>
              <w:rPr>
                <w:rFonts w:hint="default" w:ascii="方正楷体简体" w:hAnsi="方正楷体简体" w:eastAsia="方正楷体简体" w:cs="方正楷体简体"/>
                <w:color w:val="auto"/>
                <w:sz w:val="32"/>
                <w:szCs w:val="32"/>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6" w:type="dxa"/>
          <w:jc w:val="center"/>
        </w:trPr>
        <w:tc>
          <w:tcPr>
            <w:tcW w:w="1419"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default" w:ascii="方正楷体简体" w:hAnsi="方正楷体简体" w:eastAsia="方正楷体简体" w:cs="方正楷体简体"/>
                <w:color w:val="auto"/>
                <w:sz w:val="18"/>
                <w:szCs w:val="18"/>
              </w:rPr>
              <w:t>项目名称</w:t>
            </w:r>
          </w:p>
        </w:tc>
        <w:tc>
          <w:tcPr>
            <w:tcW w:w="7339" w:type="dxa"/>
            <w:gridSpan w:val="23"/>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精神科医师转岗培训（21结转）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6" w:type="dxa"/>
          <w:jc w:val="center"/>
        </w:trPr>
        <w:tc>
          <w:tcPr>
            <w:tcW w:w="1419"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主管部门及代码</w:t>
            </w:r>
          </w:p>
        </w:tc>
        <w:tc>
          <w:tcPr>
            <w:tcW w:w="3630" w:type="dxa"/>
            <w:gridSpan w:val="9"/>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内蒙古自治区锡林郭勒盟民政局</w:t>
            </w:r>
          </w:p>
        </w:tc>
        <w:tc>
          <w:tcPr>
            <w:tcW w:w="95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实施单位</w:t>
            </w:r>
          </w:p>
        </w:tc>
        <w:tc>
          <w:tcPr>
            <w:tcW w:w="2753" w:type="dxa"/>
            <w:gridSpan w:val="10"/>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锡林郭勒盟安神医院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6" w:type="dxa"/>
          <w:jc w:val="center"/>
        </w:trPr>
        <w:tc>
          <w:tcPr>
            <w:tcW w:w="1419" w:type="dxa"/>
            <w:gridSpan w:val="2"/>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项目资金 （万元）</w:t>
            </w:r>
          </w:p>
        </w:tc>
        <w:tc>
          <w:tcPr>
            <w:tcW w:w="158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c>
          <w:tcPr>
            <w:tcW w:w="1090"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年初预算数</w:t>
            </w:r>
          </w:p>
        </w:tc>
        <w:tc>
          <w:tcPr>
            <w:tcW w:w="956"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全年预算数</w:t>
            </w:r>
          </w:p>
        </w:tc>
        <w:tc>
          <w:tcPr>
            <w:tcW w:w="956"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全年执行数</w:t>
            </w:r>
          </w:p>
        </w:tc>
        <w:tc>
          <w:tcPr>
            <w:tcW w:w="749"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分值</w:t>
            </w:r>
          </w:p>
        </w:tc>
        <w:tc>
          <w:tcPr>
            <w:tcW w:w="114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执行率</w:t>
            </w:r>
          </w:p>
        </w:tc>
        <w:tc>
          <w:tcPr>
            <w:tcW w:w="85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6" w:type="dxa"/>
          <w:jc w:val="center"/>
        </w:trPr>
        <w:tc>
          <w:tcPr>
            <w:tcW w:w="1419"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58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年度资金总额</w:t>
            </w:r>
          </w:p>
        </w:tc>
        <w:tc>
          <w:tcPr>
            <w:tcW w:w="1090"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3.83</w:t>
            </w:r>
          </w:p>
        </w:tc>
        <w:tc>
          <w:tcPr>
            <w:tcW w:w="956"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3.83</w:t>
            </w:r>
          </w:p>
        </w:tc>
        <w:tc>
          <w:tcPr>
            <w:tcW w:w="956"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eastAsia="zh-CN"/>
              </w:rPr>
              <w:t>3.83</w:t>
            </w:r>
            <w:r>
              <w:rPr>
                <w:rFonts w:hint="eastAsia" w:ascii="宋体" w:hAnsi="宋体" w:eastAsia="宋体" w:cs="宋体"/>
                <w:color w:val="auto"/>
                <w:sz w:val="18"/>
                <w:szCs w:val="18"/>
              </w:rPr>
              <w:t>　</w:t>
            </w:r>
          </w:p>
        </w:tc>
        <w:tc>
          <w:tcPr>
            <w:tcW w:w="749"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lang w:val="en-US"/>
              </w:rPr>
              <w:t>10</w:t>
            </w:r>
          </w:p>
        </w:tc>
        <w:tc>
          <w:tcPr>
            <w:tcW w:w="1146"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color w:val="auto"/>
                <w:lang w:val="en-US"/>
              </w:rPr>
            </w:pPr>
            <w:r>
              <w:rPr>
                <w:rFonts w:hint="eastAsia" w:ascii="宋体" w:hAnsi="宋体" w:eastAsia="宋体" w:cs="宋体"/>
                <w:color w:val="auto"/>
                <w:sz w:val="18"/>
                <w:szCs w:val="18"/>
                <w:lang w:val="en-US" w:eastAsia="zh-CN"/>
              </w:rPr>
              <w:t>100%</w:t>
            </w:r>
          </w:p>
        </w:tc>
        <w:tc>
          <w:tcPr>
            <w:tcW w:w="85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lang w:val="en-US" w:eastAsia="zh-CN"/>
              </w:rPr>
              <w:t>10</w:t>
            </w:r>
            <w:r>
              <w:rPr>
                <w:rFonts w:hint="eastAsia" w:ascii="宋体" w:hAnsi="宋体" w:eastAsia="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6" w:type="dxa"/>
          <w:jc w:val="center"/>
        </w:trPr>
        <w:tc>
          <w:tcPr>
            <w:tcW w:w="1419"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58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其中：财政拨款</w:t>
            </w:r>
          </w:p>
        </w:tc>
        <w:tc>
          <w:tcPr>
            <w:tcW w:w="1090"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3.83</w:t>
            </w:r>
          </w:p>
        </w:tc>
        <w:tc>
          <w:tcPr>
            <w:tcW w:w="956"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3.83</w:t>
            </w:r>
          </w:p>
        </w:tc>
        <w:tc>
          <w:tcPr>
            <w:tcW w:w="956"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3.83</w:t>
            </w:r>
          </w:p>
        </w:tc>
        <w:tc>
          <w:tcPr>
            <w:tcW w:w="749"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p>
        </w:tc>
        <w:tc>
          <w:tcPr>
            <w:tcW w:w="1146"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100%</w:t>
            </w:r>
          </w:p>
        </w:tc>
        <w:tc>
          <w:tcPr>
            <w:tcW w:w="85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default" w:ascii="Courier New" w:hAnsi="Courier New" w:cs="Courier New"/>
                <w:color w:val="auto"/>
                <w:sz w:val="18"/>
                <w:szCs w:val="18"/>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6" w:type="dxa"/>
          <w:jc w:val="center"/>
        </w:trPr>
        <w:tc>
          <w:tcPr>
            <w:tcW w:w="1419"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58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rPr>
              <w:t>  </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其他资金</w:t>
            </w:r>
          </w:p>
        </w:tc>
        <w:tc>
          <w:tcPr>
            <w:tcW w:w="1090"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c>
          <w:tcPr>
            <w:tcW w:w="956"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c>
          <w:tcPr>
            <w:tcW w:w="956"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c>
          <w:tcPr>
            <w:tcW w:w="749"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default" w:ascii="Courier New" w:hAnsi="Courier New" w:cs="Courier New"/>
                <w:color w:val="auto"/>
                <w:sz w:val="18"/>
                <w:szCs w:val="18"/>
                <w:lang w:val="en-US"/>
              </w:rPr>
              <w:t>-</w:t>
            </w:r>
          </w:p>
        </w:tc>
        <w:tc>
          <w:tcPr>
            <w:tcW w:w="1146"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c>
          <w:tcPr>
            <w:tcW w:w="85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default" w:ascii="Courier New" w:hAnsi="Courier New" w:cs="Courier New"/>
                <w:color w:val="auto"/>
                <w:sz w:val="18"/>
                <w:szCs w:val="18"/>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6" w:type="dxa"/>
          <w:jc w:val="center"/>
        </w:trPr>
        <w:tc>
          <w:tcPr>
            <w:tcW w:w="84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lang w:val="en-US"/>
              </w:rPr>
              <w:t>年度总体目标</w:t>
            </w:r>
          </w:p>
        </w:tc>
        <w:tc>
          <w:tcPr>
            <w:tcW w:w="4203" w:type="dxa"/>
            <w:gridSpan w:val="10"/>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预期目标</w:t>
            </w:r>
          </w:p>
        </w:tc>
        <w:tc>
          <w:tcPr>
            <w:tcW w:w="3709" w:type="dxa"/>
            <w:gridSpan w:val="1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6" w:type="dxa"/>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4203" w:type="dxa"/>
            <w:gridSpan w:val="10"/>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支付精神科医师转岗培训费，提高医师诊疗水平，提升患康复率</w:t>
            </w:r>
          </w:p>
        </w:tc>
        <w:tc>
          <w:tcPr>
            <w:tcW w:w="3709" w:type="dxa"/>
            <w:gridSpan w:val="1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支付精神科医师转岗培训费，提高医师诊疗水平，提升患康复率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6" w:type="dxa"/>
          <w:jc w:val="center"/>
        </w:trPr>
        <w:tc>
          <w:tcPr>
            <w:tcW w:w="84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绩</w:t>
            </w:r>
            <w:r>
              <w:rPr>
                <w:rFonts w:hint="eastAsia" w:ascii="宋体" w:hAnsi="宋体" w:eastAsia="宋体" w:cs="宋体"/>
                <w:color w:val="auto"/>
                <w:sz w:val="18"/>
                <w:szCs w:val="18"/>
                <w:lang w:val="en-US"/>
              </w:rPr>
              <w:t xml:space="preserve">  </w:t>
            </w:r>
            <w:r>
              <w:rPr>
                <w:rFonts w:hint="eastAsia" w:ascii="宋体" w:hAnsi="宋体" w:eastAsia="宋体" w:cs="宋体"/>
                <w:color w:val="auto"/>
                <w:sz w:val="18"/>
                <w:szCs w:val="18"/>
              </w:rPr>
              <w:t>效</w:t>
            </w:r>
            <w:r>
              <w:rPr>
                <w:rFonts w:hint="eastAsia" w:ascii="宋体" w:hAnsi="宋体" w:eastAsia="宋体" w:cs="宋体"/>
                <w:color w:val="auto"/>
                <w:sz w:val="18"/>
                <w:szCs w:val="18"/>
                <w:lang w:val="en-US"/>
              </w:rPr>
              <w:t xml:space="preserve"> </w:t>
            </w:r>
            <w:r>
              <w:rPr>
                <w:rFonts w:hint="eastAsia" w:ascii="宋体" w:hAnsi="宋体" w:eastAsia="宋体" w:cs="宋体"/>
                <w:color w:val="auto"/>
                <w:sz w:val="18"/>
                <w:szCs w:val="18"/>
              </w:rPr>
              <w:t>指</w:t>
            </w:r>
            <w:r>
              <w:rPr>
                <w:rFonts w:hint="eastAsia" w:ascii="宋体" w:hAnsi="宋体" w:eastAsia="宋体" w:cs="宋体"/>
                <w:color w:val="auto"/>
                <w:sz w:val="18"/>
                <w:szCs w:val="18"/>
                <w:lang w:val="en-US"/>
              </w:rPr>
              <w:t xml:space="preserve">  </w:t>
            </w:r>
            <w:r>
              <w:rPr>
                <w:rFonts w:hint="eastAsia" w:ascii="宋体" w:hAnsi="宋体" w:eastAsia="宋体" w:cs="宋体"/>
                <w:color w:val="auto"/>
                <w:sz w:val="18"/>
                <w:szCs w:val="18"/>
              </w:rPr>
              <w:t>标（</w:t>
            </w:r>
            <w:r>
              <w:rPr>
                <w:rFonts w:hint="eastAsia" w:ascii="宋体" w:hAnsi="宋体" w:eastAsia="宋体" w:cs="宋体"/>
                <w:color w:val="auto"/>
                <w:sz w:val="18"/>
                <w:szCs w:val="18"/>
                <w:lang w:val="en-US"/>
              </w:rPr>
              <w:t>90</w:t>
            </w:r>
            <w:r>
              <w:rPr>
                <w:rFonts w:hint="eastAsia" w:ascii="宋体" w:hAnsi="宋体" w:eastAsia="宋体" w:cs="宋体"/>
                <w:color w:val="auto"/>
                <w:sz w:val="18"/>
                <w:szCs w:val="18"/>
              </w:rPr>
              <w:t>）</w:t>
            </w:r>
          </w:p>
        </w:tc>
        <w:tc>
          <w:tcPr>
            <w:tcW w:w="93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一级指标</w:t>
            </w:r>
          </w:p>
        </w:tc>
        <w:tc>
          <w:tcPr>
            <w:tcW w:w="128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二级指标</w:t>
            </w:r>
          </w:p>
        </w:tc>
        <w:tc>
          <w:tcPr>
            <w:tcW w:w="1280"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三级指标</w:t>
            </w:r>
          </w:p>
        </w:tc>
        <w:tc>
          <w:tcPr>
            <w:tcW w:w="70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年度指标值</w:t>
            </w:r>
          </w:p>
        </w:tc>
        <w:tc>
          <w:tcPr>
            <w:tcW w:w="85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实际完成值</w:t>
            </w:r>
          </w:p>
        </w:tc>
        <w:tc>
          <w:tcPr>
            <w:tcW w:w="46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分值</w:t>
            </w:r>
          </w:p>
        </w:tc>
        <w:tc>
          <w:tcPr>
            <w:tcW w:w="75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得分</w:t>
            </w:r>
          </w:p>
        </w:tc>
        <w:tc>
          <w:tcPr>
            <w:tcW w:w="163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6" w:type="dxa"/>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3"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产出指标（</w:t>
            </w:r>
            <w:r>
              <w:rPr>
                <w:rFonts w:hint="eastAsia" w:ascii="宋体" w:hAnsi="宋体" w:eastAsia="宋体" w:cs="宋体"/>
                <w:color w:val="auto"/>
                <w:sz w:val="18"/>
                <w:szCs w:val="18"/>
                <w:lang w:val="en-US"/>
              </w:rPr>
              <w:t>50</w:t>
            </w:r>
            <w:r>
              <w:rPr>
                <w:rFonts w:hint="eastAsia" w:ascii="宋体" w:hAnsi="宋体" w:eastAsia="宋体" w:cs="宋体"/>
                <w:color w:val="auto"/>
                <w:sz w:val="18"/>
                <w:szCs w:val="18"/>
              </w:rPr>
              <w:t>）</w:t>
            </w:r>
          </w:p>
        </w:tc>
        <w:tc>
          <w:tcPr>
            <w:tcW w:w="1288"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数量指标</w:t>
            </w:r>
          </w:p>
        </w:tc>
        <w:tc>
          <w:tcPr>
            <w:tcW w:w="1280"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培训人数</w:t>
            </w:r>
          </w:p>
        </w:tc>
        <w:tc>
          <w:tcPr>
            <w:tcW w:w="702"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5人</w:t>
            </w:r>
          </w:p>
        </w:tc>
        <w:tc>
          <w:tcPr>
            <w:tcW w:w="850"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eastAsia="宋体"/>
                <w:color w:val="auto"/>
                <w:lang w:val="en-US" w:eastAsia="zh-CN"/>
              </w:rPr>
            </w:pPr>
            <w:r>
              <w:rPr>
                <w:rFonts w:hint="eastAsia" w:ascii="宋体" w:hAnsi="宋体" w:eastAsia="宋体" w:cs="宋体"/>
                <w:color w:val="auto"/>
                <w:sz w:val="18"/>
                <w:szCs w:val="18"/>
                <w:lang w:val="en-US" w:eastAsia="zh-CN"/>
              </w:rPr>
              <w:t>5人</w:t>
            </w:r>
          </w:p>
        </w:tc>
        <w:tc>
          <w:tcPr>
            <w:tcW w:w="467"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10</w:t>
            </w:r>
          </w:p>
        </w:tc>
        <w:tc>
          <w:tcPr>
            <w:tcW w:w="756"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eastAsia="zh-CN"/>
              </w:rPr>
              <w:t>10</w:t>
            </w:r>
            <w:r>
              <w:rPr>
                <w:rFonts w:hint="eastAsia" w:ascii="宋体" w:hAnsi="宋体" w:eastAsia="宋体" w:cs="宋体"/>
                <w:color w:val="auto"/>
                <w:sz w:val="18"/>
                <w:szCs w:val="18"/>
              </w:rPr>
              <w:t>　</w:t>
            </w:r>
          </w:p>
        </w:tc>
        <w:tc>
          <w:tcPr>
            <w:tcW w:w="1636"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6" w:type="dxa"/>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3"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288"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280"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培训次数</w:t>
            </w:r>
          </w:p>
        </w:tc>
        <w:tc>
          <w:tcPr>
            <w:tcW w:w="702"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12次</w:t>
            </w:r>
          </w:p>
        </w:tc>
        <w:tc>
          <w:tcPr>
            <w:tcW w:w="850"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eastAsia="zh-CN"/>
              </w:rPr>
              <w:t>5次</w:t>
            </w:r>
            <w:r>
              <w:rPr>
                <w:rFonts w:hint="eastAsia" w:ascii="宋体" w:hAnsi="宋体" w:eastAsia="宋体" w:cs="宋体"/>
                <w:color w:val="auto"/>
                <w:sz w:val="18"/>
                <w:szCs w:val="18"/>
                <w:lang w:val="en-US"/>
              </w:rPr>
              <w:t> </w:t>
            </w:r>
          </w:p>
        </w:tc>
        <w:tc>
          <w:tcPr>
            <w:tcW w:w="467"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eastAsia="宋体"/>
                <w:color w:val="auto"/>
                <w:lang w:val="en-US" w:eastAsia="zh-CN"/>
              </w:rPr>
            </w:pPr>
            <w:r>
              <w:rPr>
                <w:rFonts w:hint="eastAsia" w:ascii="宋体" w:hAnsi="宋体" w:eastAsia="宋体" w:cs="宋体"/>
                <w:color w:val="auto"/>
                <w:sz w:val="18"/>
                <w:szCs w:val="18"/>
                <w:lang w:val="en-US" w:eastAsia="zh-CN"/>
              </w:rPr>
              <w:t>5</w:t>
            </w:r>
            <w:r>
              <w:rPr>
                <w:rFonts w:hint="eastAsia" w:ascii="宋体" w:hAnsi="宋体" w:eastAsia="宋体" w:cs="宋体"/>
                <w:color w:val="auto"/>
                <w:sz w:val="18"/>
                <w:szCs w:val="18"/>
                <w:lang w:val="en-US"/>
              </w:rPr>
              <w:t> </w:t>
            </w:r>
          </w:p>
        </w:tc>
        <w:tc>
          <w:tcPr>
            <w:tcW w:w="756"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rPr>
              <w:t> </w:t>
            </w:r>
            <w:r>
              <w:rPr>
                <w:rFonts w:hint="eastAsia" w:ascii="宋体" w:hAnsi="宋体" w:eastAsia="宋体" w:cs="宋体"/>
                <w:color w:val="auto"/>
                <w:sz w:val="18"/>
                <w:szCs w:val="18"/>
                <w:lang w:val="en-US" w:eastAsia="zh-CN"/>
              </w:rPr>
              <w:t>2.08</w:t>
            </w:r>
          </w:p>
        </w:tc>
        <w:tc>
          <w:tcPr>
            <w:tcW w:w="1636"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因疫情原因医院全面封闭式管理，无法开展教学。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6" w:type="dxa"/>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3"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288"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质量指标</w:t>
            </w:r>
          </w:p>
        </w:tc>
        <w:tc>
          <w:tcPr>
            <w:tcW w:w="1280"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培训质量</w:t>
            </w:r>
          </w:p>
        </w:tc>
        <w:tc>
          <w:tcPr>
            <w:tcW w:w="702"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95%</w:t>
            </w:r>
          </w:p>
        </w:tc>
        <w:tc>
          <w:tcPr>
            <w:tcW w:w="850"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eastAsia="宋体"/>
                <w:color w:val="auto"/>
                <w:lang w:val="en-US" w:eastAsia="zh-CN"/>
              </w:rPr>
            </w:pPr>
            <w:r>
              <w:rPr>
                <w:rFonts w:hint="eastAsia" w:ascii="宋体" w:hAnsi="宋体" w:eastAsia="宋体" w:cs="宋体"/>
                <w:color w:val="auto"/>
                <w:sz w:val="18"/>
                <w:szCs w:val="18"/>
                <w:lang w:val="en-US" w:eastAsia="zh-CN"/>
              </w:rPr>
              <w:t>0</w:t>
            </w:r>
          </w:p>
        </w:tc>
        <w:tc>
          <w:tcPr>
            <w:tcW w:w="467"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10</w:t>
            </w:r>
          </w:p>
        </w:tc>
        <w:tc>
          <w:tcPr>
            <w:tcW w:w="756"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eastAsia="zh-CN"/>
              </w:rPr>
              <w:t>0</w:t>
            </w:r>
          </w:p>
        </w:tc>
        <w:tc>
          <w:tcPr>
            <w:tcW w:w="1636"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color w:val="auto"/>
                <w:lang w:val="en-US"/>
              </w:rPr>
            </w:pPr>
            <w:r>
              <w:rPr>
                <w:rFonts w:hint="eastAsia" w:ascii="宋体" w:hAnsi="宋体" w:eastAsia="宋体" w:cs="宋体"/>
                <w:color w:val="auto"/>
                <w:sz w:val="18"/>
                <w:szCs w:val="18"/>
                <w:lang w:val="en-US" w:eastAsia="zh-CN"/>
              </w:rPr>
              <w:t>因疫情原因医院全面封闭式管理，无法全面开展教学。未能体现教学质量。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6" w:type="dxa"/>
          <w:trHeight w:val="876" w:hRule="atLeast"/>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3"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288"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280"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学员毕业率</w:t>
            </w:r>
          </w:p>
        </w:tc>
        <w:tc>
          <w:tcPr>
            <w:tcW w:w="702"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95%</w:t>
            </w:r>
          </w:p>
        </w:tc>
        <w:tc>
          <w:tcPr>
            <w:tcW w:w="850"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eastAsia="宋体"/>
                <w:color w:val="auto"/>
                <w:lang w:val="en-US" w:eastAsia="zh-CN"/>
              </w:rPr>
            </w:pPr>
            <w:r>
              <w:rPr>
                <w:rFonts w:hint="eastAsia" w:ascii="宋体" w:hAnsi="宋体" w:eastAsia="宋体" w:cs="宋体"/>
                <w:color w:val="auto"/>
                <w:sz w:val="18"/>
                <w:szCs w:val="18"/>
                <w:lang w:val="en-US" w:eastAsia="zh-CN"/>
              </w:rPr>
              <w:t>0</w:t>
            </w:r>
          </w:p>
        </w:tc>
        <w:tc>
          <w:tcPr>
            <w:tcW w:w="467"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5</w:t>
            </w:r>
          </w:p>
        </w:tc>
        <w:tc>
          <w:tcPr>
            <w:tcW w:w="756"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eastAsia="zh-CN"/>
              </w:rPr>
              <w:t>0</w:t>
            </w:r>
          </w:p>
        </w:tc>
        <w:tc>
          <w:tcPr>
            <w:tcW w:w="1636"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eastAsia="zh-CN"/>
              </w:rPr>
              <w:t>因疫情原因医院全面封闭式管理，无法开展教学。</w:t>
            </w:r>
            <w:r>
              <w:rPr>
                <w:rFonts w:hint="eastAsia" w:ascii="宋体" w:hAnsi="宋体" w:eastAsia="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6" w:type="dxa"/>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3"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288"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时效指标</w:t>
            </w:r>
          </w:p>
        </w:tc>
        <w:tc>
          <w:tcPr>
            <w:tcW w:w="1280"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培训期限</w:t>
            </w:r>
          </w:p>
        </w:tc>
        <w:tc>
          <w:tcPr>
            <w:tcW w:w="702"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1年</w:t>
            </w:r>
          </w:p>
        </w:tc>
        <w:tc>
          <w:tcPr>
            <w:tcW w:w="850"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0.5年</w:t>
            </w:r>
          </w:p>
        </w:tc>
        <w:tc>
          <w:tcPr>
            <w:tcW w:w="467"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5</w:t>
            </w:r>
          </w:p>
        </w:tc>
        <w:tc>
          <w:tcPr>
            <w:tcW w:w="756"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2.5</w:t>
            </w:r>
          </w:p>
        </w:tc>
        <w:tc>
          <w:tcPr>
            <w:tcW w:w="1636"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eastAsia="zh-CN"/>
              </w:rPr>
              <w:t>因疫情原因医院全面封闭式管理，无法开展教学。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6" w:type="dxa"/>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3"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288"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280"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培训及时</w:t>
            </w:r>
          </w:p>
        </w:tc>
        <w:tc>
          <w:tcPr>
            <w:tcW w:w="702"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95%</w:t>
            </w:r>
          </w:p>
        </w:tc>
        <w:tc>
          <w:tcPr>
            <w:tcW w:w="850"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90%</w:t>
            </w:r>
          </w:p>
        </w:tc>
        <w:tc>
          <w:tcPr>
            <w:tcW w:w="467"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5</w:t>
            </w:r>
          </w:p>
        </w:tc>
        <w:tc>
          <w:tcPr>
            <w:tcW w:w="756"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eastAsia="zh-CN"/>
              </w:rPr>
              <w:t>4.74</w:t>
            </w:r>
            <w:r>
              <w:rPr>
                <w:rFonts w:hint="eastAsia" w:ascii="宋体" w:hAnsi="宋体" w:eastAsia="宋体" w:cs="宋体"/>
                <w:color w:val="auto"/>
                <w:sz w:val="18"/>
                <w:szCs w:val="18"/>
              </w:rPr>
              <w:t>　</w:t>
            </w:r>
          </w:p>
        </w:tc>
        <w:tc>
          <w:tcPr>
            <w:tcW w:w="1636"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color w:val="auto"/>
                <w:lang w:val="en-US"/>
              </w:rPr>
            </w:pPr>
            <w:r>
              <w:rPr>
                <w:rFonts w:hint="eastAsia" w:ascii="宋体" w:hAnsi="宋体" w:eastAsia="宋体" w:cs="宋体"/>
                <w:color w:val="auto"/>
                <w:sz w:val="18"/>
                <w:szCs w:val="18"/>
                <w:lang w:val="en-US" w:eastAsia="zh-CN"/>
              </w:rPr>
              <w:t>因疫情原因医院全面封闭式管理，无法开展教学。但无疫情期间及时开展培训。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6" w:type="dxa"/>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3"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288"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成本指标</w:t>
            </w:r>
          </w:p>
        </w:tc>
        <w:tc>
          <w:tcPr>
            <w:tcW w:w="1280"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培训费</w:t>
            </w:r>
          </w:p>
        </w:tc>
        <w:tc>
          <w:tcPr>
            <w:tcW w:w="702"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3.83</w:t>
            </w:r>
          </w:p>
        </w:tc>
        <w:tc>
          <w:tcPr>
            <w:tcW w:w="850"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eastAsia="zh-CN"/>
              </w:rPr>
              <w:t>3.83</w:t>
            </w:r>
            <w:r>
              <w:rPr>
                <w:rFonts w:hint="eastAsia" w:ascii="宋体" w:hAnsi="宋体" w:eastAsia="宋体" w:cs="宋体"/>
                <w:color w:val="auto"/>
                <w:sz w:val="18"/>
                <w:szCs w:val="18"/>
              </w:rPr>
              <w:t>　</w:t>
            </w:r>
          </w:p>
        </w:tc>
        <w:tc>
          <w:tcPr>
            <w:tcW w:w="467"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5</w:t>
            </w:r>
          </w:p>
        </w:tc>
        <w:tc>
          <w:tcPr>
            <w:tcW w:w="756"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eastAsiaTheme="minorEastAsia"/>
                <w:color w:val="auto"/>
                <w:lang w:val="en-US" w:eastAsia="zh-CN"/>
              </w:rPr>
            </w:pPr>
            <w:r>
              <w:rPr>
                <w:rFonts w:hint="eastAsia" w:ascii="宋体" w:hAnsi="宋体" w:eastAsia="宋体" w:cs="宋体"/>
                <w:color w:val="auto"/>
                <w:sz w:val="18"/>
                <w:szCs w:val="18"/>
                <w:lang w:val="en-US" w:eastAsia="zh-CN"/>
              </w:rPr>
              <w:t>5</w:t>
            </w:r>
          </w:p>
        </w:tc>
        <w:tc>
          <w:tcPr>
            <w:tcW w:w="1636"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color w:val="auto"/>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6" w:type="dxa"/>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3"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288"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280"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人均成本</w:t>
            </w:r>
          </w:p>
        </w:tc>
        <w:tc>
          <w:tcPr>
            <w:tcW w:w="702"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0.7</w:t>
            </w:r>
          </w:p>
        </w:tc>
        <w:tc>
          <w:tcPr>
            <w:tcW w:w="850"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0.7</w:t>
            </w:r>
          </w:p>
        </w:tc>
        <w:tc>
          <w:tcPr>
            <w:tcW w:w="467"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5</w:t>
            </w:r>
          </w:p>
        </w:tc>
        <w:tc>
          <w:tcPr>
            <w:tcW w:w="756"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eastAsia="zh-CN"/>
              </w:rPr>
              <w:t>5</w:t>
            </w:r>
            <w:r>
              <w:rPr>
                <w:rFonts w:hint="eastAsia" w:ascii="宋体" w:hAnsi="宋体" w:eastAsia="宋体" w:cs="宋体"/>
                <w:color w:val="auto"/>
                <w:sz w:val="18"/>
                <w:szCs w:val="18"/>
              </w:rPr>
              <w:t>　</w:t>
            </w:r>
          </w:p>
        </w:tc>
        <w:tc>
          <w:tcPr>
            <w:tcW w:w="1636"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6" w:type="dxa"/>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3" w:type="dxa"/>
            <w:gridSpan w:val="2"/>
            <w:vMerge w:val="restart"/>
            <w:tcBorders>
              <w:top w:val="nil"/>
              <w:left w:val="nil"/>
              <w:right w:val="single" w:color="auto" w:sz="8" w:space="0"/>
            </w:tcBorders>
            <w:shd w:val="clear" w:color="auto" w:fill="auto"/>
            <w:tcMar>
              <w:left w:w="108" w:type="dxa"/>
              <w:right w:w="108" w:type="dxa"/>
            </w:tcMar>
            <w:vAlign w:val="center"/>
          </w:tcPr>
          <w:p>
            <w:pPr>
              <w:jc w:val="center"/>
              <w:rPr>
                <w:rFonts w:hint="eastAsia" w:ascii="宋体" w:eastAsia="宋体"/>
                <w:color w:val="auto"/>
                <w:sz w:val="24"/>
                <w:szCs w:val="24"/>
                <w:lang w:eastAsia="zh-CN"/>
              </w:rPr>
            </w:pPr>
            <w:r>
              <w:rPr>
                <w:rFonts w:hint="eastAsia" w:ascii="宋体" w:hAnsi="宋体" w:eastAsia="宋体" w:cs="宋体"/>
                <w:color w:val="auto"/>
                <w:sz w:val="18"/>
                <w:szCs w:val="18"/>
              </w:rPr>
              <w:t>效益指标（</w:t>
            </w:r>
            <w:r>
              <w:rPr>
                <w:rFonts w:hint="eastAsia" w:ascii="宋体" w:hAnsi="宋体" w:eastAsia="宋体" w:cs="宋体"/>
                <w:color w:val="auto"/>
                <w:sz w:val="18"/>
                <w:szCs w:val="18"/>
                <w:lang w:val="en-US"/>
              </w:rPr>
              <w:t>30</w:t>
            </w:r>
            <w:r>
              <w:rPr>
                <w:rFonts w:hint="eastAsia" w:ascii="宋体" w:hAnsi="宋体" w:eastAsia="宋体" w:cs="宋体"/>
                <w:color w:val="auto"/>
                <w:sz w:val="18"/>
                <w:szCs w:val="18"/>
                <w:lang w:val="en-US" w:eastAsia="zh-CN"/>
              </w:rPr>
              <w:t>）</w:t>
            </w:r>
          </w:p>
        </w:tc>
        <w:tc>
          <w:tcPr>
            <w:tcW w:w="128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社会效益指标</w:t>
            </w:r>
          </w:p>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lang w:val="en-US"/>
              </w:rPr>
              <w:t> </w:t>
            </w:r>
          </w:p>
        </w:tc>
        <w:tc>
          <w:tcPr>
            <w:tcW w:w="1280"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通过医师培训提高治疗水平带动患者康复率，降低患者发病率</w:t>
            </w:r>
          </w:p>
        </w:tc>
        <w:tc>
          <w:tcPr>
            <w:tcW w:w="702"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有所带动</w:t>
            </w:r>
          </w:p>
        </w:tc>
        <w:tc>
          <w:tcPr>
            <w:tcW w:w="850"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rFonts w:hint="default" w:eastAsia="宋体"/>
                <w:color w:val="auto"/>
                <w:lang w:val="en-US" w:eastAsia="zh-CN"/>
              </w:rPr>
            </w:pPr>
            <w:r>
              <w:rPr>
                <w:rFonts w:hint="eastAsia" w:ascii="宋体" w:hAnsi="宋体" w:eastAsia="宋体" w:cs="宋体"/>
                <w:color w:val="auto"/>
                <w:sz w:val="18"/>
                <w:szCs w:val="18"/>
                <w:lang w:val="en-US" w:eastAsia="zh-CN"/>
              </w:rPr>
              <w:t>通过医师培训提高治疗水平带动患者康复率，降低患者发病率</w:t>
            </w:r>
          </w:p>
        </w:tc>
        <w:tc>
          <w:tcPr>
            <w:tcW w:w="467"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rFonts w:hint="default" w:eastAsia="宋体"/>
                <w:color w:val="auto"/>
                <w:lang w:val="en-US" w:eastAsia="zh-CN"/>
              </w:rPr>
            </w:pPr>
            <w:r>
              <w:rPr>
                <w:rFonts w:hint="eastAsia" w:ascii="宋体" w:hAnsi="宋体" w:eastAsia="宋体" w:cs="宋体"/>
                <w:color w:val="auto"/>
                <w:sz w:val="18"/>
                <w:szCs w:val="18"/>
                <w:lang w:val="en-US" w:eastAsia="zh-CN"/>
              </w:rPr>
              <w:t>15</w:t>
            </w:r>
            <w:r>
              <w:rPr>
                <w:rFonts w:hint="eastAsia" w:ascii="宋体" w:hAnsi="宋体" w:eastAsia="宋体" w:cs="宋体"/>
                <w:color w:val="auto"/>
                <w:sz w:val="18"/>
                <w:szCs w:val="18"/>
              </w:rPr>
              <w:t>　</w:t>
            </w:r>
          </w:p>
        </w:tc>
        <w:tc>
          <w:tcPr>
            <w:tcW w:w="756"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color w:val="auto"/>
              </w:rPr>
            </w:pPr>
            <w:r>
              <w:rPr>
                <w:rFonts w:hint="eastAsia" w:ascii="宋体" w:hAnsi="宋体" w:eastAsia="宋体" w:cs="宋体"/>
                <w:color w:val="auto"/>
                <w:sz w:val="18"/>
                <w:szCs w:val="18"/>
                <w:lang w:val="en-US" w:eastAsia="zh-CN"/>
              </w:rPr>
              <w:t>15</w:t>
            </w:r>
            <w:r>
              <w:rPr>
                <w:rFonts w:hint="eastAsia" w:ascii="宋体" w:hAnsi="宋体" w:eastAsia="宋体" w:cs="宋体"/>
                <w:color w:val="auto"/>
                <w:sz w:val="18"/>
                <w:szCs w:val="18"/>
              </w:rPr>
              <w:t>　</w:t>
            </w:r>
          </w:p>
        </w:tc>
        <w:tc>
          <w:tcPr>
            <w:tcW w:w="1636"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6" w:type="dxa"/>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3" w:type="dxa"/>
            <w:gridSpan w:val="2"/>
            <w:vMerge w:val="continue"/>
            <w:tcBorders>
              <w:left w:val="nil"/>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28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可持续影响 指</w:t>
            </w:r>
            <w:r>
              <w:rPr>
                <w:rFonts w:hint="eastAsia" w:ascii="宋体" w:hAnsi="宋体" w:eastAsia="宋体" w:cs="宋体"/>
                <w:color w:val="auto"/>
                <w:sz w:val="18"/>
                <w:szCs w:val="18"/>
                <w:lang w:val="en-US"/>
              </w:rPr>
              <w:t xml:space="preserve">    </w:t>
            </w:r>
            <w:r>
              <w:rPr>
                <w:rFonts w:hint="eastAsia" w:ascii="宋体" w:hAnsi="宋体" w:eastAsia="宋体" w:cs="宋体"/>
                <w:color w:val="auto"/>
                <w:sz w:val="18"/>
                <w:szCs w:val="18"/>
              </w:rPr>
              <w:t>标</w:t>
            </w:r>
          </w:p>
        </w:tc>
        <w:tc>
          <w:tcPr>
            <w:tcW w:w="1280"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优秀的医师持续影响患者康复率</w:t>
            </w:r>
          </w:p>
        </w:tc>
        <w:tc>
          <w:tcPr>
            <w:tcW w:w="702"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color w:val="auto"/>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有所提升</w:t>
            </w:r>
          </w:p>
        </w:tc>
        <w:tc>
          <w:tcPr>
            <w:tcW w:w="850"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rFonts w:hint="default" w:eastAsiaTheme="minorEastAsia"/>
                <w:color w:val="auto"/>
                <w:lang w:val="en-US" w:eastAsia="zh-CN"/>
              </w:rPr>
            </w:pPr>
            <w:r>
              <w:rPr>
                <w:rFonts w:hint="eastAsia" w:ascii="宋体" w:hAnsi="宋体" w:eastAsia="宋体" w:cs="宋体"/>
                <w:color w:val="auto"/>
                <w:sz w:val="18"/>
                <w:szCs w:val="18"/>
                <w:lang w:val="en-US" w:eastAsia="zh-CN"/>
              </w:rPr>
              <w:t>经过培训后的优秀医师具备高端诊疗水平，持续影响患者康复率</w:t>
            </w:r>
          </w:p>
        </w:tc>
        <w:tc>
          <w:tcPr>
            <w:tcW w:w="467"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color w:val="auto"/>
              </w:rPr>
            </w:pPr>
            <w:r>
              <w:rPr>
                <w:rFonts w:hint="eastAsia" w:ascii="宋体" w:hAnsi="宋体" w:eastAsia="宋体" w:cs="宋体"/>
                <w:color w:val="auto"/>
                <w:sz w:val="18"/>
                <w:szCs w:val="18"/>
                <w:lang w:val="en-US" w:eastAsia="zh-CN"/>
              </w:rPr>
              <w:t>15</w:t>
            </w:r>
            <w:r>
              <w:rPr>
                <w:rFonts w:hint="eastAsia" w:ascii="宋体" w:hAnsi="宋体" w:eastAsia="宋体" w:cs="宋体"/>
                <w:color w:val="auto"/>
                <w:sz w:val="18"/>
                <w:szCs w:val="18"/>
              </w:rPr>
              <w:t>　</w:t>
            </w:r>
          </w:p>
        </w:tc>
        <w:tc>
          <w:tcPr>
            <w:tcW w:w="756"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color w:val="auto"/>
              </w:rPr>
            </w:pPr>
            <w:r>
              <w:rPr>
                <w:rFonts w:hint="eastAsia" w:ascii="宋体" w:hAnsi="宋体" w:eastAsia="宋体" w:cs="宋体"/>
                <w:color w:val="auto"/>
                <w:sz w:val="18"/>
                <w:szCs w:val="18"/>
                <w:lang w:val="en-US" w:eastAsia="zh-CN"/>
              </w:rPr>
              <w:t>15</w:t>
            </w:r>
            <w:r>
              <w:rPr>
                <w:rFonts w:hint="eastAsia" w:ascii="宋体" w:hAnsi="宋体" w:eastAsia="宋体" w:cs="宋体"/>
                <w:color w:val="auto"/>
                <w:sz w:val="18"/>
                <w:szCs w:val="18"/>
              </w:rPr>
              <w:t>　</w:t>
            </w:r>
          </w:p>
        </w:tc>
        <w:tc>
          <w:tcPr>
            <w:tcW w:w="1636"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6" w:type="dxa"/>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满意度 指</w:t>
            </w:r>
            <w:r>
              <w:rPr>
                <w:rFonts w:hint="eastAsia" w:ascii="宋体" w:hAnsi="宋体" w:eastAsia="宋体" w:cs="宋体"/>
                <w:color w:val="auto"/>
                <w:sz w:val="18"/>
                <w:szCs w:val="18"/>
                <w:lang w:val="en-US"/>
              </w:rPr>
              <w:t xml:space="preserve">  </w:t>
            </w:r>
            <w:r>
              <w:rPr>
                <w:rFonts w:hint="eastAsia" w:ascii="宋体" w:hAnsi="宋体" w:eastAsia="宋体" w:cs="宋体"/>
                <w:color w:val="auto"/>
                <w:sz w:val="18"/>
                <w:szCs w:val="18"/>
              </w:rPr>
              <w:t>标（</w:t>
            </w:r>
            <w:r>
              <w:rPr>
                <w:rFonts w:hint="eastAsia" w:ascii="宋体" w:hAnsi="宋体" w:eastAsia="宋体" w:cs="宋体"/>
                <w:color w:val="auto"/>
                <w:sz w:val="18"/>
                <w:szCs w:val="18"/>
                <w:lang w:val="en-US"/>
              </w:rPr>
              <w:t>10</w:t>
            </w:r>
            <w:r>
              <w:rPr>
                <w:rFonts w:hint="eastAsia" w:ascii="宋体" w:hAnsi="宋体" w:eastAsia="宋体" w:cs="宋体"/>
                <w:color w:val="auto"/>
                <w:sz w:val="18"/>
                <w:szCs w:val="18"/>
              </w:rPr>
              <w:t>）</w:t>
            </w:r>
          </w:p>
        </w:tc>
        <w:tc>
          <w:tcPr>
            <w:tcW w:w="128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服务对象 满意度指标</w:t>
            </w:r>
          </w:p>
        </w:tc>
        <w:tc>
          <w:tcPr>
            <w:tcW w:w="1280"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参与培训人员满意度</w:t>
            </w:r>
          </w:p>
        </w:tc>
        <w:tc>
          <w:tcPr>
            <w:tcW w:w="702"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95%</w:t>
            </w:r>
          </w:p>
        </w:tc>
        <w:tc>
          <w:tcPr>
            <w:tcW w:w="850"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95%</w:t>
            </w:r>
          </w:p>
        </w:tc>
        <w:tc>
          <w:tcPr>
            <w:tcW w:w="467"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10</w:t>
            </w:r>
          </w:p>
        </w:tc>
        <w:tc>
          <w:tcPr>
            <w:tcW w:w="756"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eastAsia="zh-CN"/>
              </w:rPr>
              <w:t>10</w:t>
            </w:r>
            <w:r>
              <w:rPr>
                <w:rFonts w:hint="eastAsia" w:ascii="宋体" w:hAnsi="宋体" w:eastAsia="宋体" w:cs="宋体"/>
                <w:color w:val="auto"/>
                <w:sz w:val="18"/>
                <w:szCs w:val="18"/>
              </w:rPr>
              <w:t>　</w:t>
            </w:r>
          </w:p>
        </w:tc>
        <w:tc>
          <w:tcPr>
            <w:tcW w:w="1636"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6" w:type="dxa"/>
          <w:jc w:val="center"/>
        </w:trPr>
        <w:tc>
          <w:tcPr>
            <w:tcW w:w="5899" w:type="dxa"/>
            <w:gridSpan w:val="1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总</w:t>
            </w:r>
            <w:r>
              <w:rPr>
                <w:rFonts w:hint="eastAsia" w:ascii="宋体" w:hAnsi="宋体" w:eastAsia="宋体" w:cs="宋体"/>
                <w:color w:val="auto"/>
                <w:sz w:val="18"/>
                <w:szCs w:val="18"/>
                <w:lang w:val="en-US"/>
              </w:rPr>
              <w:t xml:space="preserve">    </w:t>
            </w:r>
            <w:r>
              <w:rPr>
                <w:rFonts w:hint="eastAsia" w:ascii="宋体" w:hAnsi="宋体" w:eastAsia="宋体" w:cs="宋体"/>
                <w:color w:val="auto"/>
                <w:sz w:val="18"/>
                <w:szCs w:val="18"/>
              </w:rPr>
              <w:t>分</w:t>
            </w:r>
          </w:p>
        </w:tc>
        <w:tc>
          <w:tcPr>
            <w:tcW w:w="46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lang w:val="en-US"/>
              </w:rPr>
              <w:t>100</w:t>
            </w:r>
          </w:p>
        </w:tc>
        <w:tc>
          <w:tcPr>
            <w:tcW w:w="756"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79.32</w:t>
            </w:r>
          </w:p>
        </w:tc>
        <w:tc>
          <w:tcPr>
            <w:tcW w:w="1636"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846" w:type="dxa"/>
            <w:tcBorders>
              <w:top w:val="nil"/>
              <w:left w:val="nil"/>
              <w:bottom w:val="nil"/>
              <w:right w:val="nil"/>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sz w:val="24"/>
                <w:szCs w:val="24"/>
              </w:rPr>
              <w:t> </w:t>
            </w:r>
          </w:p>
        </w:tc>
        <w:tc>
          <w:tcPr>
            <w:tcW w:w="573" w:type="dxa"/>
            <w:tcBorders>
              <w:top w:val="nil"/>
              <w:left w:val="nil"/>
              <w:bottom w:val="nil"/>
              <w:right w:val="nil"/>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sz w:val="24"/>
                <w:szCs w:val="24"/>
              </w:rPr>
              <w:t> </w:t>
            </w:r>
          </w:p>
        </w:tc>
        <w:tc>
          <w:tcPr>
            <w:tcW w:w="360" w:type="dxa"/>
            <w:tcBorders>
              <w:top w:val="nil"/>
              <w:left w:val="nil"/>
              <w:bottom w:val="nil"/>
              <w:right w:val="nil"/>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sz w:val="24"/>
                <w:szCs w:val="24"/>
              </w:rPr>
              <w:t> </w:t>
            </w:r>
          </w:p>
        </w:tc>
        <w:tc>
          <w:tcPr>
            <w:tcW w:w="1224" w:type="dxa"/>
            <w:tcBorders>
              <w:top w:val="nil"/>
              <w:left w:val="nil"/>
              <w:bottom w:val="nil"/>
              <w:right w:val="nil"/>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sz w:val="24"/>
                <w:szCs w:val="24"/>
              </w:rPr>
              <w:t> </w:t>
            </w:r>
          </w:p>
        </w:tc>
        <w:tc>
          <w:tcPr>
            <w:tcW w:w="90" w:type="dxa"/>
            <w:gridSpan w:val="2"/>
            <w:tcBorders>
              <w:top w:val="nil"/>
              <w:left w:val="nil"/>
              <w:bottom w:val="nil"/>
              <w:right w:val="nil"/>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sz w:val="24"/>
                <w:szCs w:val="24"/>
              </w:rPr>
              <w:t> </w:t>
            </w:r>
          </w:p>
        </w:tc>
        <w:tc>
          <w:tcPr>
            <w:tcW w:w="1026" w:type="dxa"/>
            <w:gridSpan w:val="2"/>
            <w:tcBorders>
              <w:top w:val="nil"/>
              <w:left w:val="nil"/>
              <w:bottom w:val="nil"/>
              <w:right w:val="nil"/>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sz w:val="24"/>
                <w:szCs w:val="24"/>
              </w:rPr>
              <w:t> </w:t>
            </w:r>
          </w:p>
        </w:tc>
        <w:tc>
          <w:tcPr>
            <w:tcW w:w="254" w:type="dxa"/>
            <w:gridSpan w:val="2"/>
            <w:tcBorders>
              <w:top w:val="nil"/>
              <w:left w:val="nil"/>
              <w:bottom w:val="nil"/>
              <w:right w:val="nil"/>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sz w:val="24"/>
                <w:szCs w:val="24"/>
              </w:rPr>
              <w:t> </w:t>
            </w:r>
          </w:p>
        </w:tc>
        <w:tc>
          <w:tcPr>
            <w:tcW w:w="702" w:type="dxa"/>
            <w:gridSpan w:val="2"/>
            <w:tcBorders>
              <w:top w:val="nil"/>
              <w:left w:val="nil"/>
              <w:bottom w:val="nil"/>
              <w:right w:val="nil"/>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sz w:val="24"/>
                <w:szCs w:val="24"/>
              </w:rPr>
              <w:t> </w:t>
            </w:r>
          </w:p>
        </w:tc>
        <w:tc>
          <w:tcPr>
            <w:tcW w:w="702" w:type="dxa"/>
            <w:tcBorders>
              <w:top w:val="nil"/>
              <w:left w:val="nil"/>
              <w:bottom w:val="nil"/>
              <w:right w:val="nil"/>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sz w:val="24"/>
                <w:szCs w:val="24"/>
              </w:rPr>
              <w:t> </w:t>
            </w:r>
          </w:p>
        </w:tc>
        <w:tc>
          <w:tcPr>
            <w:tcW w:w="254" w:type="dxa"/>
            <w:gridSpan w:val="3"/>
            <w:tcBorders>
              <w:top w:val="nil"/>
              <w:left w:val="nil"/>
              <w:bottom w:val="nil"/>
              <w:right w:val="nil"/>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sz w:val="24"/>
                <w:szCs w:val="24"/>
              </w:rPr>
              <w:t> </w:t>
            </w:r>
          </w:p>
        </w:tc>
        <w:tc>
          <w:tcPr>
            <w:tcW w:w="361" w:type="dxa"/>
            <w:gridSpan w:val="2"/>
            <w:tcBorders>
              <w:top w:val="nil"/>
              <w:left w:val="nil"/>
              <w:bottom w:val="nil"/>
              <w:right w:val="nil"/>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sz w:val="24"/>
                <w:szCs w:val="24"/>
              </w:rPr>
              <w:t> </w:t>
            </w:r>
          </w:p>
        </w:tc>
        <w:tc>
          <w:tcPr>
            <w:tcW w:w="388" w:type="dxa"/>
            <w:gridSpan w:val="2"/>
            <w:tcBorders>
              <w:top w:val="nil"/>
              <w:left w:val="nil"/>
              <w:bottom w:val="nil"/>
              <w:right w:val="nil"/>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sz w:val="24"/>
                <w:szCs w:val="24"/>
              </w:rPr>
              <w:t> </w:t>
            </w:r>
          </w:p>
        </w:tc>
        <w:tc>
          <w:tcPr>
            <w:tcW w:w="368" w:type="dxa"/>
            <w:gridSpan w:val="2"/>
            <w:tcBorders>
              <w:top w:val="nil"/>
              <w:left w:val="nil"/>
              <w:bottom w:val="nil"/>
              <w:right w:val="nil"/>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sz w:val="24"/>
                <w:szCs w:val="24"/>
              </w:rPr>
              <w:t> </w:t>
            </w:r>
          </w:p>
        </w:tc>
        <w:tc>
          <w:tcPr>
            <w:tcW w:w="778" w:type="dxa"/>
            <w:gridSpan w:val="2"/>
            <w:tcBorders>
              <w:top w:val="nil"/>
              <w:left w:val="nil"/>
              <w:bottom w:val="nil"/>
              <w:right w:val="nil"/>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sz w:val="24"/>
                <w:szCs w:val="24"/>
              </w:rPr>
              <w:t> </w:t>
            </w:r>
          </w:p>
        </w:tc>
        <w:tc>
          <w:tcPr>
            <w:tcW w:w="858" w:type="dxa"/>
            <w:gridSpan w:val="2"/>
            <w:tcBorders>
              <w:top w:val="nil"/>
              <w:left w:val="nil"/>
              <w:bottom w:val="nil"/>
              <w:right w:val="nil"/>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846" w:type="dxa"/>
            <w:tcBorders>
              <w:top w:val="nil"/>
              <w:left w:val="nil"/>
              <w:bottom w:val="nil"/>
              <w:right w:val="nil"/>
            </w:tcBorders>
            <w:shd w:val="clear" w:color="auto" w:fill="auto"/>
            <w:vAlign w:val="center"/>
          </w:tcPr>
          <w:p>
            <w:pPr>
              <w:keepNext w:val="0"/>
              <w:keepLines w:val="0"/>
              <w:widowControl/>
              <w:suppressLineNumbers w:val="0"/>
              <w:jc w:val="left"/>
              <w:rPr>
                <w:rFonts w:ascii="宋体" w:hAnsi="宋体" w:eastAsia="宋体" w:cs="宋体"/>
                <w:color w:val="auto"/>
                <w:sz w:val="24"/>
                <w:szCs w:val="24"/>
              </w:rPr>
            </w:pPr>
          </w:p>
        </w:tc>
        <w:tc>
          <w:tcPr>
            <w:tcW w:w="573" w:type="dxa"/>
            <w:tcBorders>
              <w:top w:val="nil"/>
              <w:left w:val="nil"/>
              <w:bottom w:val="nil"/>
              <w:right w:val="nil"/>
            </w:tcBorders>
            <w:shd w:val="clear" w:color="auto" w:fill="auto"/>
            <w:vAlign w:val="center"/>
          </w:tcPr>
          <w:p>
            <w:pPr>
              <w:keepNext w:val="0"/>
              <w:keepLines w:val="0"/>
              <w:widowControl/>
              <w:suppressLineNumbers w:val="0"/>
              <w:jc w:val="left"/>
              <w:rPr>
                <w:rFonts w:ascii="宋体" w:hAnsi="宋体" w:eastAsia="宋体" w:cs="宋体"/>
                <w:color w:val="auto"/>
                <w:sz w:val="24"/>
                <w:szCs w:val="24"/>
              </w:rPr>
            </w:pPr>
          </w:p>
        </w:tc>
        <w:tc>
          <w:tcPr>
            <w:tcW w:w="360" w:type="dxa"/>
            <w:tcBorders>
              <w:top w:val="nil"/>
              <w:left w:val="nil"/>
              <w:bottom w:val="nil"/>
              <w:right w:val="nil"/>
            </w:tcBorders>
            <w:shd w:val="clear" w:color="auto" w:fill="auto"/>
            <w:vAlign w:val="center"/>
          </w:tcPr>
          <w:p>
            <w:pPr>
              <w:keepNext w:val="0"/>
              <w:keepLines w:val="0"/>
              <w:widowControl/>
              <w:suppressLineNumbers w:val="0"/>
              <w:jc w:val="left"/>
              <w:rPr>
                <w:rFonts w:ascii="宋体" w:hAnsi="宋体" w:eastAsia="宋体" w:cs="宋体"/>
                <w:color w:val="auto"/>
                <w:sz w:val="24"/>
                <w:szCs w:val="24"/>
              </w:rPr>
            </w:pPr>
          </w:p>
        </w:tc>
        <w:tc>
          <w:tcPr>
            <w:tcW w:w="1224" w:type="dxa"/>
            <w:tcBorders>
              <w:top w:val="nil"/>
              <w:left w:val="nil"/>
              <w:bottom w:val="nil"/>
              <w:right w:val="nil"/>
            </w:tcBorders>
            <w:shd w:val="clear" w:color="auto" w:fill="auto"/>
            <w:vAlign w:val="center"/>
          </w:tcPr>
          <w:p>
            <w:pPr>
              <w:keepNext w:val="0"/>
              <w:keepLines w:val="0"/>
              <w:widowControl/>
              <w:suppressLineNumbers w:val="0"/>
              <w:jc w:val="left"/>
              <w:rPr>
                <w:rFonts w:ascii="宋体" w:hAnsi="宋体" w:eastAsia="宋体" w:cs="宋体"/>
                <w:color w:val="auto"/>
                <w:sz w:val="24"/>
                <w:szCs w:val="24"/>
              </w:rPr>
            </w:pPr>
          </w:p>
        </w:tc>
        <w:tc>
          <w:tcPr>
            <w:tcW w:w="90" w:type="dxa"/>
            <w:gridSpan w:val="2"/>
            <w:tcBorders>
              <w:top w:val="nil"/>
              <w:left w:val="nil"/>
              <w:bottom w:val="nil"/>
              <w:right w:val="nil"/>
            </w:tcBorders>
            <w:shd w:val="clear" w:color="auto" w:fill="auto"/>
            <w:vAlign w:val="center"/>
          </w:tcPr>
          <w:p>
            <w:pPr>
              <w:keepNext w:val="0"/>
              <w:keepLines w:val="0"/>
              <w:widowControl/>
              <w:suppressLineNumbers w:val="0"/>
              <w:jc w:val="left"/>
              <w:rPr>
                <w:rFonts w:ascii="宋体" w:hAnsi="宋体" w:eastAsia="宋体" w:cs="宋体"/>
                <w:color w:val="auto"/>
                <w:sz w:val="24"/>
                <w:szCs w:val="24"/>
              </w:rPr>
            </w:pPr>
          </w:p>
        </w:tc>
        <w:tc>
          <w:tcPr>
            <w:tcW w:w="1026" w:type="dxa"/>
            <w:gridSpan w:val="2"/>
            <w:tcBorders>
              <w:top w:val="nil"/>
              <w:left w:val="nil"/>
              <w:bottom w:val="nil"/>
              <w:right w:val="nil"/>
            </w:tcBorders>
            <w:shd w:val="clear" w:color="auto" w:fill="auto"/>
            <w:vAlign w:val="center"/>
          </w:tcPr>
          <w:p>
            <w:pPr>
              <w:keepNext w:val="0"/>
              <w:keepLines w:val="0"/>
              <w:widowControl/>
              <w:suppressLineNumbers w:val="0"/>
              <w:jc w:val="left"/>
              <w:rPr>
                <w:rFonts w:ascii="宋体" w:hAnsi="宋体" w:eastAsia="宋体" w:cs="宋体"/>
                <w:color w:val="auto"/>
                <w:sz w:val="24"/>
                <w:szCs w:val="24"/>
              </w:rPr>
            </w:pPr>
          </w:p>
        </w:tc>
        <w:tc>
          <w:tcPr>
            <w:tcW w:w="254" w:type="dxa"/>
            <w:gridSpan w:val="2"/>
            <w:tcBorders>
              <w:top w:val="nil"/>
              <w:left w:val="nil"/>
              <w:bottom w:val="nil"/>
              <w:right w:val="nil"/>
            </w:tcBorders>
            <w:shd w:val="clear" w:color="auto" w:fill="auto"/>
            <w:vAlign w:val="center"/>
          </w:tcPr>
          <w:p>
            <w:pPr>
              <w:keepNext w:val="0"/>
              <w:keepLines w:val="0"/>
              <w:widowControl/>
              <w:suppressLineNumbers w:val="0"/>
              <w:jc w:val="left"/>
              <w:rPr>
                <w:rFonts w:ascii="宋体" w:hAnsi="宋体" w:eastAsia="宋体" w:cs="宋体"/>
                <w:color w:val="auto"/>
                <w:sz w:val="24"/>
                <w:szCs w:val="24"/>
              </w:rPr>
            </w:pPr>
          </w:p>
        </w:tc>
        <w:tc>
          <w:tcPr>
            <w:tcW w:w="702" w:type="dxa"/>
            <w:gridSpan w:val="2"/>
            <w:tcBorders>
              <w:top w:val="nil"/>
              <w:left w:val="nil"/>
              <w:bottom w:val="nil"/>
              <w:right w:val="nil"/>
            </w:tcBorders>
            <w:shd w:val="clear" w:color="auto" w:fill="auto"/>
            <w:vAlign w:val="center"/>
          </w:tcPr>
          <w:p>
            <w:pPr>
              <w:keepNext w:val="0"/>
              <w:keepLines w:val="0"/>
              <w:widowControl/>
              <w:suppressLineNumbers w:val="0"/>
              <w:jc w:val="left"/>
              <w:rPr>
                <w:rFonts w:ascii="宋体" w:hAnsi="宋体" w:eastAsia="宋体" w:cs="宋体"/>
                <w:color w:val="auto"/>
                <w:sz w:val="24"/>
                <w:szCs w:val="24"/>
              </w:rPr>
            </w:pPr>
          </w:p>
        </w:tc>
        <w:tc>
          <w:tcPr>
            <w:tcW w:w="702" w:type="dxa"/>
            <w:tcBorders>
              <w:top w:val="nil"/>
              <w:left w:val="nil"/>
              <w:bottom w:val="nil"/>
              <w:right w:val="nil"/>
            </w:tcBorders>
            <w:shd w:val="clear" w:color="auto" w:fill="auto"/>
            <w:vAlign w:val="center"/>
          </w:tcPr>
          <w:p>
            <w:pPr>
              <w:keepNext w:val="0"/>
              <w:keepLines w:val="0"/>
              <w:widowControl/>
              <w:suppressLineNumbers w:val="0"/>
              <w:jc w:val="left"/>
              <w:rPr>
                <w:rFonts w:ascii="宋体" w:hAnsi="宋体" w:eastAsia="宋体" w:cs="宋体"/>
                <w:color w:val="auto"/>
                <w:sz w:val="24"/>
                <w:szCs w:val="24"/>
              </w:rPr>
            </w:pPr>
          </w:p>
        </w:tc>
        <w:tc>
          <w:tcPr>
            <w:tcW w:w="254" w:type="dxa"/>
            <w:gridSpan w:val="3"/>
            <w:tcBorders>
              <w:top w:val="nil"/>
              <w:left w:val="nil"/>
              <w:bottom w:val="nil"/>
              <w:right w:val="nil"/>
            </w:tcBorders>
            <w:shd w:val="clear" w:color="auto" w:fill="auto"/>
            <w:vAlign w:val="center"/>
          </w:tcPr>
          <w:p>
            <w:pPr>
              <w:keepNext w:val="0"/>
              <w:keepLines w:val="0"/>
              <w:widowControl/>
              <w:suppressLineNumbers w:val="0"/>
              <w:jc w:val="left"/>
              <w:rPr>
                <w:rFonts w:ascii="宋体" w:hAnsi="宋体" w:eastAsia="宋体" w:cs="宋体"/>
                <w:color w:val="auto"/>
                <w:sz w:val="24"/>
                <w:szCs w:val="24"/>
              </w:rPr>
            </w:pPr>
          </w:p>
        </w:tc>
        <w:tc>
          <w:tcPr>
            <w:tcW w:w="361" w:type="dxa"/>
            <w:gridSpan w:val="2"/>
            <w:tcBorders>
              <w:top w:val="nil"/>
              <w:left w:val="nil"/>
              <w:bottom w:val="nil"/>
              <w:right w:val="nil"/>
            </w:tcBorders>
            <w:shd w:val="clear" w:color="auto" w:fill="auto"/>
            <w:vAlign w:val="center"/>
          </w:tcPr>
          <w:p>
            <w:pPr>
              <w:keepNext w:val="0"/>
              <w:keepLines w:val="0"/>
              <w:widowControl/>
              <w:suppressLineNumbers w:val="0"/>
              <w:jc w:val="left"/>
              <w:rPr>
                <w:rFonts w:ascii="宋体" w:hAnsi="宋体" w:eastAsia="宋体" w:cs="宋体"/>
                <w:color w:val="auto"/>
                <w:sz w:val="24"/>
                <w:szCs w:val="24"/>
              </w:rPr>
            </w:pPr>
          </w:p>
        </w:tc>
        <w:tc>
          <w:tcPr>
            <w:tcW w:w="388" w:type="dxa"/>
            <w:gridSpan w:val="2"/>
            <w:tcBorders>
              <w:top w:val="nil"/>
              <w:left w:val="nil"/>
              <w:bottom w:val="nil"/>
              <w:right w:val="nil"/>
            </w:tcBorders>
            <w:shd w:val="clear" w:color="auto" w:fill="auto"/>
            <w:vAlign w:val="center"/>
          </w:tcPr>
          <w:p>
            <w:pPr>
              <w:keepNext w:val="0"/>
              <w:keepLines w:val="0"/>
              <w:widowControl/>
              <w:suppressLineNumbers w:val="0"/>
              <w:jc w:val="left"/>
              <w:rPr>
                <w:rFonts w:ascii="宋体" w:hAnsi="宋体" w:eastAsia="宋体" w:cs="宋体"/>
                <w:color w:val="auto"/>
                <w:sz w:val="24"/>
                <w:szCs w:val="24"/>
              </w:rPr>
            </w:pPr>
          </w:p>
        </w:tc>
        <w:tc>
          <w:tcPr>
            <w:tcW w:w="368" w:type="dxa"/>
            <w:gridSpan w:val="2"/>
            <w:tcBorders>
              <w:top w:val="nil"/>
              <w:left w:val="nil"/>
              <w:bottom w:val="nil"/>
              <w:right w:val="nil"/>
            </w:tcBorders>
            <w:shd w:val="clear" w:color="auto" w:fill="auto"/>
            <w:vAlign w:val="center"/>
          </w:tcPr>
          <w:p>
            <w:pPr>
              <w:keepNext w:val="0"/>
              <w:keepLines w:val="0"/>
              <w:widowControl/>
              <w:suppressLineNumbers w:val="0"/>
              <w:jc w:val="left"/>
              <w:rPr>
                <w:rFonts w:ascii="宋体" w:hAnsi="宋体" w:eastAsia="宋体" w:cs="宋体"/>
                <w:color w:val="auto"/>
                <w:sz w:val="24"/>
                <w:szCs w:val="24"/>
              </w:rPr>
            </w:pPr>
          </w:p>
        </w:tc>
        <w:tc>
          <w:tcPr>
            <w:tcW w:w="778" w:type="dxa"/>
            <w:gridSpan w:val="2"/>
            <w:tcBorders>
              <w:top w:val="nil"/>
              <w:left w:val="nil"/>
              <w:bottom w:val="nil"/>
              <w:right w:val="nil"/>
            </w:tcBorders>
            <w:shd w:val="clear" w:color="auto" w:fill="auto"/>
            <w:vAlign w:val="center"/>
          </w:tcPr>
          <w:p>
            <w:pPr>
              <w:keepNext w:val="0"/>
              <w:keepLines w:val="0"/>
              <w:widowControl/>
              <w:suppressLineNumbers w:val="0"/>
              <w:jc w:val="left"/>
              <w:rPr>
                <w:rFonts w:ascii="宋体" w:hAnsi="宋体" w:eastAsia="宋体" w:cs="宋体"/>
                <w:color w:val="auto"/>
                <w:sz w:val="24"/>
                <w:szCs w:val="24"/>
              </w:rPr>
            </w:pPr>
          </w:p>
        </w:tc>
        <w:tc>
          <w:tcPr>
            <w:tcW w:w="858" w:type="dxa"/>
            <w:gridSpan w:val="2"/>
            <w:tcBorders>
              <w:top w:val="nil"/>
              <w:left w:val="nil"/>
              <w:bottom w:val="nil"/>
              <w:right w:val="nil"/>
            </w:tcBorders>
            <w:shd w:val="clear" w:color="auto" w:fill="auto"/>
            <w:vAlign w:val="center"/>
          </w:tcPr>
          <w:p>
            <w:pPr>
              <w:keepNext w:val="0"/>
              <w:keepLines w:val="0"/>
              <w:widowControl/>
              <w:suppressLineNumbers w:val="0"/>
              <w:jc w:val="left"/>
              <w:rPr>
                <w:rFonts w:ascii="宋体" w:hAnsi="宋体" w:eastAsia="宋体" w:cs="宋体"/>
                <w:color w:val="auto"/>
                <w:sz w:val="24"/>
                <w:szCs w:val="24"/>
              </w:rPr>
            </w:pPr>
          </w:p>
        </w:tc>
      </w:tr>
    </w:tbl>
    <w:p>
      <w:pPr>
        <w:keepNext w:val="0"/>
        <w:keepLines w:val="0"/>
        <w:widowControl/>
        <w:suppressLineNumbers w:val="0"/>
        <w:spacing w:before="0" w:beforeAutospacing="1" w:after="0" w:afterAutospacing="1" w:line="560" w:lineRule="atLeast"/>
        <w:ind w:left="0" w:right="0" w:firstLine="640"/>
        <w:jc w:val="both"/>
        <w:rPr>
          <w:color w:val="0000FF"/>
          <w:sz w:val="32"/>
          <w:szCs w:val="32"/>
        </w:rPr>
      </w:pPr>
    </w:p>
    <w:tbl>
      <w:tblPr>
        <w:tblStyle w:val="9"/>
        <w:tblW w:w="87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46"/>
        <w:gridCol w:w="577"/>
        <w:gridCol w:w="360"/>
        <w:gridCol w:w="1235"/>
        <w:gridCol w:w="240"/>
        <w:gridCol w:w="871"/>
        <w:gridCol w:w="255"/>
        <w:gridCol w:w="707"/>
        <w:gridCol w:w="707"/>
        <w:gridCol w:w="254"/>
        <w:gridCol w:w="366"/>
        <w:gridCol w:w="371"/>
        <w:gridCol w:w="295"/>
        <w:gridCol w:w="798"/>
        <w:gridCol w:w="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8758" w:type="dxa"/>
            <w:gridSpan w:val="15"/>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center"/>
              <w:rPr>
                <w:color w:val="auto"/>
              </w:rPr>
            </w:pPr>
            <w:r>
              <w:rPr>
                <w:rFonts w:hint="eastAsia" w:ascii="方正小标宋简体" w:hAnsi="方正小标宋简体" w:eastAsia="方正小标宋简体" w:cs="方正小标宋简体"/>
                <w:color w:val="auto"/>
                <w:spacing w:val="20"/>
                <w:sz w:val="44"/>
                <w:szCs w:val="44"/>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758" w:type="dxa"/>
            <w:gridSpan w:val="15"/>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center"/>
              <w:rPr>
                <w:color w:val="auto"/>
              </w:rPr>
            </w:pPr>
            <w:r>
              <w:rPr>
                <w:rFonts w:ascii="方正楷体简体" w:hAnsi="方正楷体简体" w:eastAsia="方正楷体简体" w:cs="方正楷体简体"/>
                <w:color w:val="auto"/>
                <w:sz w:val="32"/>
                <w:szCs w:val="32"/>
              </w:rPr>
              <w:t>（</w:t>
            </w:r>
            <w:r>
              <w:rPr>
                <w:rFonts w:hint="eastAsia" w:ascii="方正楷体简体" w:hAnsi="方正楷体简体" w:eastAsia="方正楷体简体" w:cs="方正楷体简体"/>
                <w:color w:val="auto"/>
                <w:sz w:val="32"/>
                <w:szCs w:val="32"/>
                <w:lang w:val="en-US" w:eastAsia="zh-CN"/>
              </w:rPr>
              <w:t>2022</w:t>
            </w:r>
            <w:r>
              <w:rPr>
                <w:rFonts w:hint="default" w:ascii="方正楷体简体" w:hAnsi="方正楷体简体" w:eastAsia="方正楷体简体" w:cs="方正楷体简体"/>
                <w:color w:val="auto"/>
                <w:sz w:val="32"/>
                <w:szCs w:val="32"/>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23"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default" w:ascii="方正楷体简体" w:hAnsi="方正楷体简体" w:eastAsia="方正楷体简体" w:cs="方正楷体简体"/>
                <w:color w:val="auto"/>
                <w:sz w:val="18"/>
                <w:szCs w:val="18"/>
              </w:rPr>
              <w:t>项目名称</w:t>
            </w:r>
          </w:p>
        </w:tc>
        <w:tc>
          <w:tcPr>
            <w:tcW w:w="7335" w:type="dxa"/>
            <w:gridSpan w:val="13"/>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精神卫生疾病防治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23"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主管部门及代码</w:t>
            </w:r>
          </w:p>
        </w:tc>
        <w:tc>
          <w:tcPr>
            <w:tcW w:w="3668" w:type="dxa"/>
            <w:gridSpan w:val="6"/>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内蒙古自治区锡林郭勒盟民政局</w:t>
            </w:r>
          </w:p>
        </w:tc>
        <w:tc>
          <w:tcPr>
            <w:tcW w:w="96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实施单位</w:t>
            </w:r>
          </w:p>
        </w:tc>
        <w:tc>
          <w:tcPr>
            <w:tcW w:w="2706" w:type="dxa"/>
            <w:gridSpan w:val="5"/>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锡林郭勒盟安神医院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23" w:type="dxa"/>
            <w:gridSpan w:val="2"/>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项目资金 （万元）</w:t>
            </w:r>
          </w:p>
        </w:tc>
        <w:tc>
          <w:tcPr>
            <w:tcW w:w="1595"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c>
          <w:tcPr>
            <w:tcW w:w="1111"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年初预算数</w:t>
            </w:r>
          </w:p>
        </w:tc>
        <w:tc>
          <w:tcPr>
            <w:tcW w:w="962"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全年预算数</w:t>
            </w:r>
          </w:p>
        </w:tc>
        <w:tc>
          <w:tcPr>
            <w:tcW w:w="961"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全年执行数</w:t>
            </w:r>
          </w:p>
        </w:tc>
        <w:tc>
          <w:tcPr>
            <w:tcW w:w="73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分值</w:t>
            </w:r>
          </w:p>
        </w:tc>
        <w:tc>
          <w:tcPr>
            <w:tcW w:w="109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执行率</w:t>
            </w: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23"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595"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年度资金总额</w:t>
            </w:r>
          </w:p>
        </w:tc>
        <w:tc>
          <w:tcPr>
            <w:tcW w:w="1111"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40</w:t>
            </w:r>
          </w:p>
        </w:tc>
        <w:tc>
          <w:tcPr>
            <w:tcW w:w="962"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40</w:t>
            </w:r>
          </w:p>
        </w:tc>
        <w:tc>
          <w:tcPr>
            <w:tcW w:w="961"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40　</w:t>
            </w:r>
          </w:p>
        </w:tc>
        <w:tc>
          <w:tcPr>
            <w:tcW w:w="73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w:t>
            </w:r>
          </w:p>
        </w:tc>
        <w:tc>
          <w:tcPr>
            <w:tcW w:w="1093"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100%</w:t>
            </w: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23"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595"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其中：财政拨款</w:t>
            </w:r>
          </w:p>
        </w:tc>
        <w:tc>
          <w:tcPr>
            <w:tcW w:w="1111"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40</w:t>
            </w:r>
          </w:p>
        </w:tc>
        <w:tc>
          <w:tcPr>
            <w:tcW w:w="962"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40</w:t>
            </w:r>
          </w:p>
        </w:tc>
        <w:tc>
          <w:tcPr>
            <w:tcW w:w="961"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40</w:t>
            </w:r>
          </w:p>
        </w:tc>
        <w:tc>
          <w:tcPr>
            <w:tcW w:w="73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p>
        </w:tc>
        <w:tc>
          <w:tcPr>
            <w:tcW w:w="1093"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100%</w:t>
            </w: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color w:val="auto"/>
                <w:sz w:val="18"/>
                <w:szCs w:val="18"/>
                <w:lang w:val="en-US" w:eastAsia="zh-CN"/>
              </w:rPr>
            </w:pPr>
            <w:r>
              <w:rPr>
                <w:rFonts w:hint="default" w:ascii="宋体" w:hAnsi="宋体" w:eastAsia="宋体" w:cs="宋体"/>
                <w:color w:val="auto"/>
                <w:sz w:val="18"/>
                <w:szCs w:val="18"/>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23"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595"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rPr>
              <w:t>  </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其他资金</w:t>
            </w:r>
          </w:p>
        </w:tc>
        <w:tc>
          <w:tcPr>
            <w:tcW w:w="1111"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c>
          <w:tcPr>
            <w:tcW w:w="962"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c>
          <w:tcPr>
            <w:tcW w:w="961"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c>
          <w:tcPr>
            <w:tcW w:w="73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default" w:ascii="Courier New" w:hAnsi="Courier New" w:cs="Courier New"/>
                <w:color w:val="auto"/>
                <w:sz w:val="18"/>
                <w:szCs w:val="18"/>
                <w:lang w:val="en-US"/>
              </w:rPr>
              <w:t>-</w:t>
            </w:r>
          </w:p>
        </w:tc>
        <w:tc>
          <w:tcPr>
            <w:tcW w:w="1093"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default" w:ascii="Courier New" w:hAnsi="Courier New" w:cs="Courier New"/>
                <w:color w:val="auto"/>
                <w:sz w:val="18"/>
                <w:szCs w:val="18"/>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lang w:val="en-US"/>
              </w:rPr>
              <w:t>年度总体目标</w:t>
            </w:r>
          </w:p>
        </w:tc>
        <w:tc>
          <w:tcPr>
            <w:tcW w:w="4245" w:type="dxa"/>
            <w:gridSpan w:val="7"/>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预期目标</w:t>
            </w:r>
          </w:p>
        </w:tc>
        <w:tc>
          <w:tcPr>
            <w:tcW w:w="3667" w:type="dxa"/>
            <w:gridSpan w:val="7"/>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4245" w:type="dxa"/>
            <w:gridSpan w:val="7"/>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通过免费赠药项目提高贫困精神患者服药率，降低社会危害。</w:t>
            </w:r>
          </w:p>
        </w:tc>
        <w:tc>
          <w:tcPr>
            <w:tcW w:w="3667" w:type="dxa"/>
            <w:gridSpan w:val="7"/>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已完成年初预定目标，发放免费赠药。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绩</w:t>
            </w:r>
            <w:r>
              <w:rPr>
                <w:rFonts w:hint="eastAsia" w:ascii="宋体" w:hAnsi="宋体" w:eastAsia="宋体" w:cs="宋体"/>
                <w:color w:val="auto"/>
                <w:sz w:val="18"/>
                <w:szCs w:val="18"/>
                <w:lang w:val="en-US"/>
              </w:rPr>
              <w:t xml:space="preserve">  </w:t>
            </w:r>
            <w:r>
              <w:rPr>
                <w:rFonts w:hint="eastAsia" w:ascii="宋体" w:hAnsi="宋体" w:eastAsia="宋体" w:cs="宋体"/>
                <w:color w:val="auto"/>
                <w:sz w:val="18"/>
                <w:szCs w:val="18"/>
              </w:rPr>
              <w:t>效</w:t>
            </w:r>
            <w:r>
              <w:rPr>
                <w:rFonts w:hint="eastAsia" w:ascii="宋体" w:hAnsi="宋体" w:eastAsia="宋体" w:cs="宋体"/>
                <w:color w:val="auto"/>
                <w:sz w:val="18"/>
                <w:szCs w:val="18"/>
                <w:lang w:val="en-US"/>
              </w:rPr>
              <w:t xml:space="preserve"> </w:t>
            </w:r>
            <w:r>
              <w:rPr>
                <w:rFonts w:hint="eastAsia" w:ascii="宋体" w:hAnsi="宋体" w:eastAsia="宋体" w:cs="宋体"/>
                <w:color w:val="auto"/>
                <w:sz w:val="18"/>
                <w:szCs w:val="18"/>
              </w:rPr>
              <w:t>指</w:t>
            </w:r>
            <w:r>
              <w:rPr>
                <w:rFonts w:hint="eastAsia" w:ascii="宋体" w:hAnsi="宋体" w:eastAsia="宋体" w:cs="宋体"/>
                <w:color w:val="auto"/>
                <w:sz w:val="18"/>
                <w:szCs w:val="18"/>
                <w:lang w:val="en-US"/>
              </w:rPr>
              <w:t xml:space="preserve">  </w:t>
            </w:r>
            <w:r>
              <w:rPr>
                <w:rFonts w:hint="eastAsia" w:ascii="宋体" w:hAnsi="宋体" w:eastAsia="宋体" w:cs="宋体"/>
                <w:color w:val="auto"/>
                <w:sz w:val="18"/>
                <w:szCs w:val="18"/>
              </w:rPr>
              <w:t>标（</w:t>
            </w:r>
            <w:r>
              <w:rPr>
                <w:rFonts w:hint="eastAsia" w:ascii="宋体" w:hAnsi="宋体" w:eastAsia="宋体" w:cs="宋体"/>
                <w:color w:val="auto"/>
                <w:sz w:val="18"/>
                <w:szCs w:val="18"/>
                <w:lang w:val="en-US"/>
              </w:rPr>
              <w:t>90</w:t>
            </w:r>
            <w:r>
              <w:rPr>
                <w:rFonts w:hint="eastAsia" w:ascii="宋体" w:hAnsi="宋体" w:eastAsia="宋体" w:cs="宋体"/>
                <w:color w:val="auto"/>
                <w:sz w:val="18"/>
                <w:szCs w:val="18"/>
              </w:rPr>
              <w:t>）</w:t>
            </w:r>
          </w:p>
        </w:tc>
        <w:tc>
          <w:tcPr>
            <w:tcW w:w="93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一级指标</w:t>
            </w:r>
          </w:p>
        </w:tc>
        <w:tc>
          <w:tcPr>
            <w:tcW w:w="147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二级指标</w:t>
            </w:r>
          </w:p>
        </w:tc>
        <w:tc>
          <w:tcPr>
            <w:tcW w:w="112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三级指标</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年度指标值</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实际完成值</w:t>
            </w:r>
          </w:p>
        </w:tc>
        <w:tc>
          <w:tcPr>
            <w:tcW w:w="62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分值</w:t>
            </w:r>
          </w:p>
        </w:tc>
        <w:tc>
          <w:tcPr>
            <w:tcW w:w="66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得分</w:t>
            </w:r>
          </w:p>
        </w:tc>
        <w:tc>
          <w:tcPr>
            <w:tcW w:w="167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7"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产出指标（</w:t>
            </w:r>
            <w:r>
              <w:rPr>
                <w:rFonts w:hint="eastAsia" w:ascii="宋体" w:hAnsi="宋体" w:eastAsia="宋体" w:cs="宋体"/>
                <w:color w:val="auto"/>
                <w:sz w:val="18"/>
                <w:szCs w:val="18"/>
                <w:lang w:val="en-US"/>
              </w:rPr>
              <w:t>50</w:t>
            </w:r>
            <w:r>
              <w:rPr>
                <w:rFonts w:hint="eastAsia" w:ascii="宋体" w:hAnsi="宋体" w:eastAsia="宋体" w:cs="宋体"/>
                <w:color w:val="auto"/>
                <w:sz w:val="18"/>
                <w:szCs w:val="18"/>
              </w:rPr>
              <w:t>）</w:t>
            </w:r>
          </w:p>
        </w:tc>
        <w:tc>
          <w:tcPr>
            <w:tcW w:w="1475"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数量指标</w:t>
            </w:r>
          </w:p>
        </w:tc>
        <w:tc>
          <w:tcPr>
            <w:tcW w:w="112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免费赠药金额</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40万元</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36.74万元</w:t>
            </w:r>
          </w:p>
        </w:tc>
        <w:tc>
          <w:tcPr>
            <w:tcW w:w="62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10</w:t>
            </w:r>
          </w:p>
        </w:tc>
        <w:tc>
          <w:tcPr>
            <w:tcW w:w="66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color w:val="auto"/>
                <w:lang w:val="en-US"/>
              </w:rPr>
            </w:pPr>
            <w:r>
              <w:rPr>
                <w:rFonts w:hint="eastAsia" w:ascii="宋体" w:hAnsi="宋体" w:eastAsia="宋体" w:cs="宋体"/>
                <w:color w:val="auto"/>
                <w:sz w:val="18"/>
                <w:szCs w:val="18"/>
                <w:lang w:val="en-US" w:eastAsia="zh-CN"/>
              </w:rPr>
              <w:t>9.19</w:t>
            </w:r>
          </w:p>
        </w:tc>
        <w:tc>
          <w:tcPr>
            <w:tcW w:w="167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部分费用用于心理危机干预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7"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475"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12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免费赠药例数</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80</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eastAsia="zh-CN"/>
              </w:rPr>
              <w:t>80</w:t>
            </w:r>
            <w:r>
              <w:rPr>
                <w:rFonts w:hint="eastAsia" w:ascii="宋体" w:hAnsi="宋体" w:eastAsia="宋体" w:cs="宋体"/>
                <w:color w:val="auto"/>
                <w:sz w:val="18"/>
                <w:szCs w:val="18"/>
                <w:lang w:val="en-US"/>
              </w:rPr>
              <w:t> </w:t>
            </w:r>
          </w:p>
        </w:tc>
        <w:tc>
          <w:tcPr>
            <w:tcW w:w="62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eastAsia="宋体"/>
                <w:color w:val="auto"/>
                <w:lang w:val="en-US" w:eastAsia="zh-CN"/>
              </w:rPr>
            </w:pPr>
            <w:r>
              <w:rPr>
                <w:rFonts w:hint="eastAsia" w:ascii="宋体" w:hAnsi="宋体" w:eastAsia="宋体" w:cs="宋体"/>
                <w:color w:val="auto"/>
                <w:sz w:val="18"/>
                <w:szCs w:val="18"/>
                <w:lang w:val="en-US" w:eastAsia="zh-CN"/>
              </w:rPr>
              <w:t>5</w:t>
            </w:r>
            <w:r>
              <w:rPr>
                <w:rFonts w:hint="eastAsia" w:ascii="宋体" w:hAnsi="宋体" w:eastAsia="宋体" w:cs="宋体"/>
                <w:color w:val="auto"/>
                <w:sz w:val="18"/>
                <w:szCs w:val="18"/>
                <w:lang w:val="en-US"/>
              </w:rPr>
              <w:t> </w:t>
            </w:r>
          </w:p>
        </w:tc>
        <w:tc>
          <w:tcPr>
            <w:tcW w:w="66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firstLine="180" w:firstLineChars="100"/>
              <w:rPr>
                <w:rFonts w:hint="default" w:eastAsia="宋体"/>
                <w:color w:val="auto"/>
                <w:lang w:val="en-US" w:eastAsia="zh-CN"/>
              </w:rPr>
            </w:pPr>
            <w:r>
              <w:rPr>
                <w:rFonts w:hint="eastAsia" w:ascii="宋体" w:hAnsi="宋体" w:eastAsia="宋体" w:cs="宋体"/>
                <w:color w:val="auto"/>
                <w:sz w:val="18"/>
                <w:szCs w:val="18"/>
                <w:lang w:val="en-US" w:eastAsia="zh-CN"/>
              </w:rPr>
              <w:t>5</w:t>
            </w:r>
          </w:p>
        </w:tc>
        <w:tc>
          <w:tcPr>
            <w:tcW w:w="167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7"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475"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质量指标</w:t>
            </w:r>
          </w:p>
        </w:tc>
        <w:tc>
          <w:tcPr>
            <w:tcW w:w="112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药品合格率</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100%</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100%</w:t>
            </w:r>
          </w:p>
        </w:tc>
        <w:tc>
          <w:tcPr>
            <w:tcW w:w="62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10</w:t>
            </w:r>
          </w:p>
        </w:tc>
        <w:tc>
          <w:tcPr>
            <w:tcW w:w="66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eastAsia="zh-CN"/>
              </w:rPr>
              <w:t>10</w:t>
            </w:r>
            <w:r>
              <w:rPr>
                <w:rFonts w:hint="eastAsia" w:ascii="宋体" w:hAnsi="宋体" w:eastAsia="宋体" w:cs="宋体"/>
                <w:color w:val="auto"/>
                <w:sz w:val="18"/>
                <w:szCs w:val="18"/>
              </w:rPr>
              <w:t>　</w:t>
            </w:r>
          </w:p>
        </w:tc>
        <w:tc>
          <w:tcPr>
            <w:tcW w:w="167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7"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475"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12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赠药人群符合要求率</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100%</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100%</w:t>
            </w:r>
          </w:p>
        </w:tc>
        <w:tc>
          <w:tcPr>
            <w:tcW w:w="62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5</w:t>
            </w:r>
          </w:p>
        </w:tc>
        <w:tc>
          <w:tcPr>
            <w:tcW w:w="66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eastAsia="zh-CN"/>
              </w:rPr>
              <w:t>5</w:t>
            </w:r>
          </w:p>
        </w:tc>
        <w:tc>
          <w:tcPr>
            <w:tcW w:w="167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7"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475"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时效指标</w:t>
            </w:r>
          </w:p>
        </w:tc>
        <w:tc>
          <w:tcPr>
            <w:tcW w:w="112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赠药时限</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1年</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1年</w:t>
            </w:r>
          </w:p>
        </w:tc>
        <w:tc>
          <w:tcPr>
            <w:tcW w:w="62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5</w:t>
            </w:r>
          </w:p>
        </w:tc>
        <w:tc>
          <w:tcPr>
            <w:tcW w:w="66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5</w:t>
            </w:r>
          </w:p>
        </w:tc>
        <w:tc>
          <w:tcPr>
            <w:tcW w:w="167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7"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475"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12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赠药及时率</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90</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85</w:t>
            </w:r>
          </w:p>
        </w:tc>
        <w:tc>
          <w:tcPr>
            <w:tcW w:w="62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5</w:t>
            </w:r>
          </w:p>
        </w:tc>
        <w:tc>
          <w:tcPr>
            <w:tcW w:w="66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color w:val="auto"/>
                <w:lang w:val="en-US"/>
              </w:rPr>
            </w:pPr>
            <w:r>
              <w:rPr>
                <w:rFonts w:hint="eastAsia" w:ascii="宋体" w:hAnsi="宋体" w:eastAsia="宋体" w:cs="宋体"/>
                <w:color w:val="auto"/>
                <w:sz w:val="18"/>
                <w:szCs w:val="18"/>
                <w:lang w:val="en-US" w:eastAsia="zh-CN"/>
              </w:rPr>
              <w:t>4.72</w:t>
            </w:r>
          </w:p>
        </w:tc>
        <w:tc>
          <w:tcPr>
            <w:tcW w:w="167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因疫情封闭原因，影响赠药及时率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7"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475"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成本指标</w:t>
            </w:r>
          </w:p>
        </w:tc>
        <w:tc>
          <w:tcPr>
            <w:tcW w:w="112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赠药成本</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40</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eastAsia="zh-CN"/>
              </w:rPr>
              <w:t>36.74</w:t>
            </w:r>
            <w:r>
              <w:rPr>
                <w:rFonts w:hint="eastAsia" w:ascii="宋体" w:hAnsi="宋体" w:eastAsia="宋体" w:cs="宋体"/>
                <w:color w:val="auto"/>
                <w:sz w:val="18"/>
                <w:szCs w:val="18"/>
              </w:rPr>
              <w:t>　</w:t>
            </w:r>
          </w:p>
        </w:tc>
        <w:tc>
          <w:tcPr>
            <w:tcW w:w="62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5</w:t>
            </w:r>
          </w:p>
        </w:tc>
        <w:tc>
          <w:tcPr>
            <w:tcW w:w="66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eastAsia="zh-CN"/>
              </w:rPr>
              <w:t>4.59</w:t>
            </w:r>
            <w:r>
              <w:rPr>
                <w:rFonts w:hint="eastAsia" w:ascii="宋体" w:hAnsi="宋体" w:eastAsia="宋体" w:cs="宋体"/>
                <w:color w:val="auto"/>
                <w:sz w:val="18"/>
                <w:szCs w:val="18"/>
              </w:rPr>
              <w:t>　</w:t>
            </w:r>
          </w:p>
        </w:tc>
        <w:tc>
          <w:tcPr>
            <w:tcW w:w="167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本年度因疫情原因开展线上心理危机干预，减少了部分赠药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7"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475"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12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节约成本率</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1%</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0</w:t>
            </w:r>
          </w:p>
        </w:tc>
        <w:tc>
          <w:tcPr>
            <w:tcW w:w="62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5</w:t>
            </w:r>
          </w:p>
        </w:tc>
        <w:tc>
          <w:tcPr>
            <w:tcW w:w="66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　</w:t>
            </w:r>
          </w:p>
        </w:tc>
        <w:tc>
          <w:tcPr>
            <w:tcW w:w="167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药品采购严格按照国家要求进行阳关采购，成本与年初计划相同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7" w:type="dxa"/>
            <w:gridSpan w:val="2"/>
            <w:vMerge w:val="restart"/>
            <w:tcBorders>
              <w:top w:val="nil"/>
              <w:left w:val="nil"/>
              <w:right w:val="single" w:color="auto" w:sz="8" w:space="0"/>
            </w:tcBorders>
            <w:shd w:val="clear" w:color="auto" w:fill="auto"/>
            <w:tcMar>
              <w:left w:w="108" w:type="dxa"/>
              <w:right w:w="108" w:type="dxa"/>
            </w:tcMar>
            <w:vAlign w:val="center"/>
          </w:tcPr>
          <w:p>
            <w:pPr>
              <w:jc w:val="center"/>
              <w:rPr>
                <w:rFonts w:hint="eastAsia" w:ascii="宋体" w:eastAsia="宋体"/>
                <w:color w:val="auto"/>
                <w:sz w:val="24"/>
                <w:szCs w:val="24"/>
                <w:lang w:eastAsia="zh-CN"/>
              </w:rPr>
            </w:pPr>
            <w:r>
              <w:rPr>
                <w:rFonts w:hint="eastAsia" w:ascii="宋体" w:hAnsi="宋体" w:eastAsia="宋体" w:cs="宋体"/>
                <w:color w:val="auto"/>
                <w:sz w:val="18"/>
                <w:szCs w:val="18"/>
              </w:rPr>
              <w:t>效益指标（</w:t>
            </w:r>
            <w:r>
              <w:rPr>
                <w:rFonts w:hint="eastAsia" w:ascii="宋体" w:hAnsi="宋体" w:eastAsia="宋体" w:cs="宋体"/>
                <w:color w:val="auto"/>
                <w:sz w:val="18"/>
                <w:szCs w:val="18"/>
                <w:lang w:val="en-US"/>
              </w:rPr>
              <w:t>30</w:t>
            </w:r>
            <w:r>
              <w:rPr>
                <w:rFonts w:hint="eastAsia" w:ascii="宋体" w:hAnsi="宋体" w:eastAsia="宋体" w:cs="宋体"/>
                <w:color w:val="auto"/>
                <w:sz w:val="18"/>
                <w:szCs w:val="18"/>
                <w:lang w:val="en-US" w:eastAsia="zh-CN"/>
              </w:rPr>
              <w:t>）</w:t>
            </w:r>
          </w:p>
        </w:tc>
        <w:tc>
          <w:tcPr>
            <w:tcW w:w="147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社会效益指标</w:t>
            </w:r>
          </w:p>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lang w:val="en-US"/>
              </w:rPr>
              <w:t> </w:t>
            </w:r>
          </w:p>
        </w:tc>
        <w:tc>
          <w:tcPr>
            <w:tcW w:w="112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提高贫困精神障碍患者服药率</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rFonts w:hint="default" w:eastAsia="宋体"/>
                <w:color w:val="auto"/>
                <w:lang w:val="en-US" w:eastAsia="zh-CN"/>
              </w:rPr>
            </w:pPr>
            <w:r>
              <w:rPr>
                <w:rFonts w:hint="eastAsia" w:ascii="宋体" w:hAnsi="宋体" w:eastAsia="宋体" w:cs="宋体"/>
                <w:color w:val="auto"/>
                <w:sz w:val="18"/>
                <w:szCs w:val="18"/>
                <w:lang w:val="en-US" w:eastAsia="zh-CN"/>
              </w:rPr>
              <w:t>有所提升</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rFonts w:hint="default" w:eastAsia="宋体"/>
                <w:color w:val="auto"/>
                <w:lang w:val="en-US" w:eastAsia="zh-CN"/>
              </w:rPr>
            </w:pPr>
            <w:r>
              <w:rPr>
                <w:rFonts w:hint="eastAsia" w:ascii="宋体" w:hAnsi="宋体" w:eastAsia="宋体" w:cs="宋体"/>
                <w:color w:val="auto"/>
                <w:sz w:val="18"/>
                <w:szCs w:val="18"/>
                <w:lang w:val="en-US" w:eastAsia="zh-CN"/>
              </w:rPr>
              <w:t>有所提升</w:t>
            </w:r>
          </w:p>
        </w:tc>
        <w:tc>
          <w:tcPr>
            <w:tcW w:w="62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rFonts w:hint="default" w:eastAsia="宋体"/>
                <w:color w:val="auto"/>
                <w:lang w:val="en-US" w:eastAsia="zh-CN"/>
              </w:rPr>
            </w:pPr>
            <w:r>
              <w:rPr>
                <w:rFonts w:hint="eastAsia" w:ascii="宋体" w:hAnsi="宋体" w:eastAsia="宋体" w:cs="宋体"/>
                <w:color w:val="auto"/>
                <w:sz w:val="18"/>
                <w:szCs w:val="18"/>
                <w:lang w:val="en-US" w:eastAsia="zh-CN"/>
              </w:rPr>
              <w:t>15</w:t>
            </w:r>
            <w:r>
              <w:rPr>
                <w:rFonts w:hint="eastAsia" w:ascii="宋体" w:hAnsi="宋体" w:eastAsia="宋体" w:cs="宋体"/>
                <w:color w:val="auto"/>
                <w:sz w:val="18"/>
                <w:szCs w:val="18"/>
              </w:rPr>
              <w:t>　</w:t>
            </w:r>
          </w:p>
        </w:tc>
        <w:tc>
          <w:tcPr>
            <w:tcW w:w="66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color w:val="auto"/>
              </w:rPr>
            </w:pPr>
            <w:r>
              <w:rPr>
                <w:rFonts w:hint="eastAsia" w:ascii="宋体" w:hAnsi="宋体" w:eastAsia="宋体" w:cs="宋体"/>
                <w:color w:val="auto"/>
                <w:sz w:val="18"/>
                <w:szCs w:val="18"/>
                <w:lang w:val="en-US" w:eastAsia="zh-CN"/>
              </w:rPr>
              <w:t>15</w:t>
            </w:r>
            <w:r>
              <w:rPr>
                <w:rFonts w:hint="eastAsia" w:ascii="宋体" w:hAnsi="宋体" w:eastAsia="宋体" w:cs="宋体"/>
                <w:color w:val="auto"/>
                <w:sz w:val="18"/>
                <w:szCs w:val="18"/>
              </w:rPr>
              <w:t>　</w:t>
            </w:r>
          </w:p>
        </w:tc>
        <w:tc>
          <w:tcPr>
            <w:tcW w:w="167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7" w:type="dxa"/>
            <w:gridSpan w:val="2"/>
            <w:vMerge w:val="continue"/>
            <w:tcBorders>
              <w:left w:val="nil"/>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47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可持续影响 指</w:t>
            </w:r>
            <w:r>
              <w:rPr>
                <w:rFonts w:hint="eastAsia" w:ascii="宋体" w:hAnsi="宋体" w:eastAsia="宋体" w:cs="宋体"/>
                <w:color w:val="auto"/>
                <w:sz w:val="18"/>
                <w:szCs w:val="18"/>
                <w:lang w:val="en-US"/>
              </w:rPr>
              <w:t xml:space="preserve">    </w:t>
            </w:r>
            <w:r>
              <w:rPr>
                <w:rFonts w:hint="eastAsia" w:ascii="宋体" w:hAnsi="宋体" w:eastAsia="宋体" w:cs="宋体"/>
                <w:color w:val="auto"/>
                <w:sz w:val="18"/>
                <w:szCs w:val="18"/>
              </w:rPr>
              <w:t>标</w:t>
            </w:r>
          </w:p>
        </w:tc>
        <w:tc>
          <w:tcPr>
            <w:tcW w:w="112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通过免费赠药项目提高贫困精神患者服药率，降低社会危害</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color w:val="auto"/>
              </w:rPr>
            </w:pPr>
            <w:r>
              <w:rPr>
                <w:rFonts w:hint="eastAsia" w:ascii="宋体" w:hAnsi="宋体" w:eastAsia="宋体" w:cs="宋体"/>
                <w:color w:val="auto"/>
                <w:sz w:val="18"/>
                <w:szCs w:val="18"/>
                <w:lang w:val="en-US" w:eastAsia="zh-CN"/>
              </w:rPr>
              <w:t>有所提升</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color w:val="auto"/>
              </w:rPr>
            </w:pPr>
            <w:r>
              <w:rPr>
                <w:rFonts w:hint="eastAsia" w:ascii="宋体" w:hAnsi="宋体" w:eastAsia="宋体" w:cs="宋体"/>
                <w:color w:val="auto"/>
                <w:sz w:val="18"/>
                <w:szCs w:val="18"/>
                <w:lang w:val="en-US" w:eastAsia="zh-CN"/>
              </w:rPr>
              <w:t>有所提升</w:t>
            </w:r>
          </w:p>
        </w:tc>
        <w:tc>
          <w:tcPr>
            <w:tcW w:w="62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color w:val="auto"/>
              </w:rPr>
            </w:pPr>
            <w:r>
              <w:rPr>
                <w:rFonts w:hint="eastAsia" w:ascii="宋体" w:hAnsi="宋体" w:eastAsia="宋体" w:cs="宋体"/>
                <w:color w:val="auto"/>
                <w:sz w:val="18"/>
                <w:szCs w:val="18"/>
                <w:lang w:val="en-US" w:eastAsia="zh-CN"/>
              </w:rPr>
              <w:t>15</w:t>
            </w:r>
            <w:r>
              <w:rPr>
                <w:rFonts w:hint="eastAsia" w:ascii="宋体" w:hAnsi="宋体" w:eastAsia="宋体" w:cs="宋体"/>
                <w:color w:val="auto"/>
                <w:sz w:val="18"/>
                <w:szCs w:val="18"/>
              </w:rPr>
              <w:t>　</w:t>
            </w:r>
          </w:p>
        </w:tc>
        <w:tc>
          <w:tcPr>
            <w:tcW w:w="66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color w:val="auto"/>
              </w:rPr>
            </w:pPr>
            <w:r>
              <w:rPr>
                <w:rFonts w:hint="eastAsia" w:ascii="宋体" w:hAnsi="宋体" w:eastAsia="宋体" w:cs="宋体"/>
                <w:color w:val="auto"/>
                <w:sz w:val="18"/>
                <w:szCs w:val="18"/>
                <w:lang w:val="en-US" w:eastAsia="zh-CN"/>
              </w:rPr>
              <w:t>15</w:t>
            </w:r>
            <w:r>
              <w:rPr>
                <w:rFonts w:hint="eastAsia" w:ascii="宋体" w:hAnsi="宋体" w:eastAsia="宋体" w:cs="宋体"/>
                <w:color w:val="auto"/>
                <w:sz w:val="18"/>
                <w:szCs w:val="18"/>
              </w:rPr>
              <w:t>　</w:t>
            </w:r>
          </w:p>
        </w:tc>
        <w:tc>
          <w:tcPr>
            <w:tcW w:w="167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满意度 指</w:t>
            </w:r>
            <w:r>
              <w:rPr>
                <w:rFonts w:hint="eastAsia" w:ascii="宋体" w:hAnsi="宋体" w:eastAsia="宋体" w:cs="宋体"/>
                <w:color w:val="auto"/>
                <w:sz w:val="18"/>
                <w:szCs w:val="18"/>
                <w:lang w:val="en-US"/>
              </w:rPr>
              <w:t xml:space="preserve">  </w:t>
            </w:r>
            <w:r>
              <w:rPr>
                <w:rFonts w:hint="eastAsia" w:ascii="宋体" w:hAnsi="宋体" w:eastAsia="宋体" w:cs="宋体"/>
                <w:color w:val="auto"/>
                <w:sz w:val="18"/>
                <w:szCs w:val="18"/>
              </w:rPr>
              <w:t>标（</w:t>
            </w:r>
            <w:r>
              <w:rPr>
                <w:rFonts w:hint="eastAsia" w:ascii="宋体" w:hAnsi="宋体" w:eastAsia="宋体" w:cs="宋体"/>
                <w:color w:val="auto"/>
                <w:sz w:val="18"/>
                <w:szCs w:val="18"/>
                <w:lang w:val="en-US"/>
              </w:rPr>
              <w:t>10</w:t>
            </w:r>
            <w:r>
              <w:rPr>
                <w:rFonts w:hint="eastAsia" w:ascii="宋体" w:hAnsi="宋体" w:eastAsia="宋体" w:cs="宋体"/>
                <w:color w:val="auto"/>
                <w:sz w:val="18"/>
                <w:szCs w:val="18"/>
              </w:rPr>
              <w:t>）</w:t>
            </w:r>
          </w:p>
        </w:tc>
        <w:tc>
          <w:tcPr>
            <w:tcW w:w="147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服务对象 满意度指标</w:t>
            </w:r>
          </w:p>
        </w:tc>
        <w:tc>
          <w:tcPr>
            <w:tcW w:w="112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患者满意度</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95%</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95%</w:t>
            </w:r>
          </w:p>
        </w:tc>
        <w:tc>
          <w:tcPr>
            <w:tcW w:w="62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10</w:t>
            </w:r>
          </w:p>
        </w:tc>
        <w:tc>
          <w:tcPr>
            <w:tcW w:w="66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eastAsia="zh-CN"/>
              </w:rPr>
              <w:t>10</w:t>
            </w:r>
            <w:r>
              <w:rPr>
                <w:rFonts w:hint="eastAsia" w:ascii="宋体" w:hAnsi="宋体" w:eastAsia="宋体" w:cs="宋体"/>
                <w:color w:val="auto"/>
                <w:sz w:val="18"/>
                <w:szCs w:val="18"/>
              </w:rPr>
              <w:t>　</w:t>
            </w:r>
          </w:p>
        </w:tc>
        <w:tc>
          <w:tcPr>
            <w:tcW w:w="167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798" w:type="dxa"/>
            <w:gridSpan w:val="9"/>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总</w:t>
            </w:r>
            <w:r>
              <w:rPr>
                <w:rFonts w:hint="eastAsia" w:ascii="宋体" w:hAnsi="宋体" w:eastAsia="宋体" w:cs="宋体"/>
                <w:color w:val="auto"/>
                <w:sz w:val="18"/>
                <w:szCs w:val="18"/>
                <w:lang w:val="en-US"/>
              </w:rPr>
              <w:t xml:space="preserve">    </w:t>
            </w:r>
            <w:r>
              <w:rPr>
                <w:rFonts w:hint="eastAsia" w:ascii="宋体" w:hAnsi="宋体" w:eastAsia="宋体" w:cs="宋体"/>
                <w:color w:val="auto"/>
                <w:sz w:val="18"/>
                <w:szCs w:val="18"/>
              </w:rPr>
              <w:t>分</w:t>
            </w:r>
          </w:p>
        </w:tc>
        <w:tc>
          <w:tcPr>
            <w:tcW w:w="62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lang w:val="en-US"/>
              </w:rPr>
              <w:t>100</w:t>
            </w:r>
          </w:p>
        </w:tc>
        <w:tc>
          <w:tcPr>
            <w:tcW w:w="66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93.5</w:t>
            </w:r>
          </w:p>
        </w:tc>
        <w:tc>
          <w:tcPr>
            <w:tcW w:w="167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846"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577"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360"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1235"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240"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871"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255"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707"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707"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254"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366"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371"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295"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798"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876"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r>
    </w:tbl>
    <w:p>
      <w:pPr>
        <w:keepNext w:val="0"/>
        <w:keepLines w:val="0"/>
        <w:widowControl/>
        <w:suppressLineNumbers w:val="0"/>
        <w:spacing w:before="0" w:beforeAutospacing="1" w:after="0" w:afterAutospacing="1" w:line="560" w:lineRule="atLeast"/>
        <w:ind w:left="0" w:right="0" w:firstLine="640"/>
        <w:jc w:val="both"/>
        <w:rPr>
          <w:color w:val="0000FF"/>
          <w:sz w:val="32"/>
          <w:szCs w:val="32"/>
        </w:rPr>
      </w:pPr>
    </w:p>
    <w:p>
      <w:pPr>
        <w:pStyle w:val="2"/>
        <w:rPr>
          <w:color w:val="0000FF"/>
          <w:sz w:val="32"/>
          <w:szCs w:val="32"/>
        </w:rPr>
      </w:pPr>
    </w:p>
    <w:p/>
    <w:p>
      <w:pPr>
        <w:keepNext w:val="0"/>
        <w:keepLines w:val="0"/>
        <w:widowControl/>
        <w:suppressLineNumbers w:val="0"/>
        <w:spacing w:before="0" w:beforeAutospacing="1" w:after="0" w:afterAutospacing="1" w:line="560" w:lineRule="atLeast"/>
        <w:ind w:left="0" w:right="0" w:firstLine="640"/>
        <w:jc w:val="both"/>
        <w:rPr>
          <w:color w:val="0000FF"/>
          <w:sz w:val="32"/>
          <w:szCs w:val="32"/>
        </w:rPr>
      </w:pPr>
    </w:p>
    <w:tbl>
      <w:tblPr>
        <w:tblStyle w:val="9"/>
        <w:tblW w:w="87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46"/>
        <w:gridCol w:w="577"/>
        <w:gridCol w:w="360"/>
        <w:gridCol w:w="1235"/>
        <w:gridCol w:w="240"/>
        <w:gridCol w:w="871"/>
        <w:gridCol w:w="255"/>
        <w:gridCol w:w="783"/>
        <w:gridCol w:w="666"/>
        <w:gridCol w:w="219"/>
        <w:gridCol w:w="15"/>
        <w:gridCol w:w="351"/>
        <w:gridCol w:w="15"/>
        <w:gridCol w:w="356"/>
        <w:gridCol w:w="15"/>
        <w:gridCol w:w="280"/>
        <w:gridCol w:w="15"/>
        <w:gridCol w:w="783"/>
        <w:gridCol w:w="15"/>
        <w:gridCol w:w="861"/>
        <w:gridCol w:w="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5" w:type="dxa"/>
          <w:jc w:val="center"/>
        </w:trPr>
        <w:tc>
          <w:tcPr>
            <w:tcW w:w="8758" w:type="dxa"/>
            <w:gridSpan w:val="20"/>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center"/>
              <w:rPr>
                <w:color w:val="auto"/>
              </w:rPr>
            </w:pPr>
            <w:r>
              <w:rPr>
                <w:rFonts w:hint="eastAsia" w:ascii="方正小标宋简体" w:hAnsi="方正小标宋简体" w:eastAsia="方正小标宋简体" w:cs="方正小标宋简体"/>
                <w:color w:val="auto"/>
                <w:spacing w:val="20"/>
                <w:sz w:val="44"/>
                <w:szCs w:val="44"/>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jc w:val="center"/>
        </w:trPr>
        <w:tc>
          <w:tcPr>
            <w:tcW w:w="8758" w:type="dxa"/>
            <w:gridSpan w:val="20"/>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center"/>
              <w:rPr>
                <w:color w:val="auto"/>
              </w:rPr>
            </w:pPr>
            <w:r>
              <w:rPr>
                <w:rFonts w:ascii="方正楷体简体" w:hAnsi="方正楷体简体" w:eastAsia="方正楷体简体" w:cs="方正楷体简体"/>
                <w:color w:val="auto"/>
                <w:sz w:val="32"/>
                <w:szCs w:val="32"/>
              </w:rPr>
              <w:t>（</w:t>
            </w:r>
            <w:r>
              <w:rPr>
                <w:rFonts w:hint="eastAsia" w:ascii="方正楷体简体" w:hAnsi="方正楷体简体" w:eastAsia="方正楷体简体" w:cs="方正楷体简体"/>
                <w:color w:val="auto"/>
                <w:sz w:val="32"/>
                <w:szCs w:val="32"/>
                <w:lang w:val="en-US" w:eastAsia="zh-CN"/>
              </w:rPr>
              <w:t>2022</w:t>
            </w:r>
            <w:r>
              <w:rPr>
                <w:rFonts w:hint="default" w:ascii="方正楷体简体" w:hAnsi="方正楷体简体" w:eastAsia="方正楷体简体" w:cs="方正楷体简体"/>
                <w:color w:val="auto"/>
                <w:sz w:val="32"/>
                <w:szCs w:val="32"/>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jc w:val="center"/>
        </w:trPr>
        <w:tc>
          <w:tcPr>
            <w:tcW w:w="1423"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default" w:ascii="方正楷体简体" w:hAnsi="方正楷体简体" w:eastAsia="方正楷体简体" w:cs="方正楷体简体"/>
                <w:color w:val="auto"/>
                <w:sz w:val="18"/>
                <w:szCs w:val="18"/>
              </w:rPr>
              <w:t>项目名称</w:t>
            </w:r>
          </w:p>
        </w:tc>
        <w:tc>
          <w:tcPr>
            <w:tcW w:w="7335" w:type="dxa"/>
            <w:gridSpan w:val="18"/>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疫情防控保障资金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jc w:val="center"/>
        </w:trPr>
        <w:tc>
          <w:tcPr>
            <w:tcW w:w="1423"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主管部门及代码</w:t>
            </w:r>
          </w:p>
        </w:tc>
        <w:tc>
          <w:tcPr>
            <w:tcW w:w="3744" w:type="dxa"/>
            <w:gridSpan w:val="6"/>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内蒙古自治区锡林郭勒盟民政局</w:t>
            </w:r>
          </w:p>
        </w:tc>
        <w:tc>
          <w:tcPr>
            <w:tcW w:w="8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实施单位</w:t>
            </w:r>
          </w:p>
        </w:tc>
        <w:tc>
          <w:tcPr>
            <w:tcW w:w="2706" w:type="dxa"/>
            <w:gridSpan w:val="10"/>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锡林郭勒盟安神医院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jc w:val="center"/>
        </w:trPr>
        <w:tc>
          <w:tcPr>
            <w:tcW w:w="1423" w:type="dxa"/>
            <w:gridSpan w:val="2"/>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项目资金 （万元）</w:t>
            </w:r>
          </w:p>
        </w:tc>
        <w:tc>
          <w:tcPr>
            <w:tcW w:w="1595"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c>
          <w:tcPr>
            <w:tcW w:w="1111"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年初预算数</w:t>
            </w:r>
          </w:p>
        </w:tc>
        <w:tc>
          <w:tcPr>
            <w:tcW w:w="1038"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全年预算数</w:t>
            </w:r>
          </w:p>
        </w:tc>
        <w:tc>
          <w:tcPr>
            <w:tcW w:w="885"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全年执行数</w:t>
            </w:r>
          </w:p>
        </w:tc>
        <w:tc>
          <w:tcPr>
            <w:tcW w:w="737"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分值</w:t>
            </w:r>
          </w:p>
        </w:tc>
        <w:tc>
          <w:tcPr>
            <w:tcW w:w="1093"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执行率</w:t>
            </w:r>
          </w:p>
        </w:tc>
        <w:tc>
          <w:tcPr>
            <w:tcW w:w="87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5" w:type="dxa"/>
          <w:jc w:val="center"/>
        </w:trPr>
        <w:tc>
          <w:tcPr>
            <w:tcW w:w="1423"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595"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年度资金总额</w:t>
            </w:r>
          </w:p>
        </w:tc>
        <w:tc>
          <w:tcPr>
            <w:tcW w:w="1111"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40.19</w:t>
            </w:r>
          </w:p>
        </w:tc>
        <w:tc>
          <w:tcPr>
            <w:tcW w:w="1038"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38.76</w:t>
            </w:r>
          </w:p>
        </w:tc>
        <w:tc>
          <w:tcPr>
            <w:tcW w:w="885"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38.76　</w:t>
            </w:r>
          </w:p>
        </w:tc>
        <w:tc>
          <w:tcPr>
            <w:tcW w:w="737"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w:t>
            </w:r>
          </w:p>
        </w:tc>
        <w:tc>
          <w:tcPr>
            <w:tcW w:w="1093"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96.44%</w:t>
            </w:r>
          </w:p>
        </w:tc>
        <w:tc>
          <w:tcPr>
            <w:tcW w:w="87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jc w:val="center"/>
        </w:trPr>
        <w:tc>
          <w:tcPr>
            <w:tcW w:w="1423"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595"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其中：财政拨款</w:t>
            </w:r>
          </w:p>
        </w:tc>
        <w:tc>
          <w:tcPr>
            <w:tcW w:w="1111"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40.19</w:t>
            </w:r>
          </w:p>
        </w:tc>
        <w:tc>
          <w:tcPr>
            <w:tcW w:w="1038"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38.76</w:t>
            </w:r>
          </w:p>
        </w:tc>
        <w:tc>
          <w:tcPr>
            <w:tcW w:w="885"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38.76</w:t>
            </w:r>
          </w:p>
        </w:tc>
        <w:tc>
          <w:tcPr>
            <w:tcW w:w="737"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p>
        </w:tc>
        <w:tc>
          <w:tcPr>
            <w:tcW w:w="1093"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96.44%</w:t>
            </w:r>
          </w:p>
        </w:tc>
        <w:tc>
          <w:tcPr>
            <w:tcW w:w="87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color w:val="auto"/>
                <w:sz w:val="18"/>
                <w:szCs w:val="18"/>
                <w:lang w:val="en-US" w:eastAsia="zh-CN"/>
              </w:rPr>
            </w:pPr>
            <w:r>
              <w:rPr>
                <w:rFonts w:hint="default" w:ascii="宋体" w:hAnsi="宋体" w:eastAsia="宋体" w:cs="宋体"/>
                <w:color w:val="auto"/>
                <w:sz w:val="18"/>
                <w:szCs w:val="18"/>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jc w:val="center"/>
        </w:trPr>
        <w:tc>
          <w:tcPr>
            <w:tcW w:w="1423"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595"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rPr>
              <w:t>  </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其他资金</w:t>
            </w:r>
          </w:p>
        </w:tc>
        <w:tc>
          <w:tcPr>
            <w:tcW w:w="1111"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c>
          <w:tcPr>
            <w:tcW w:w="1038"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c>
          <w:tcPr>
            <w:tcW w:w="885"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c>
          <w:tcPr>
            <w:tcW w:w="737"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default" w:ascii="Courier New" w:hAnsi="Courier New" w:cs="Courier New"/>
                <w:color w:val="auto"/>
                <w:sz w:val="18"/>
                <w:szCs w:val="18"/>
                <w:lang w:val="en-US"/>
              </w:rPr>
              <w:t>-</w:t>
            </w:r>
          </w:p>
        </w:tc>
        <w:tc>
          <w:tcPr>
            <w:tcW w:w="1093"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c>
          <w:tcPr>
            <w:tcW w:w="87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default" w:ascii="Courier New" w:hAnsi="Courier New" w:cs="Courier New"/>
                <w:color w:val="auto"/>
                <w:sz w:val="18"/>
                <w:szCs w:val="18"/>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jc w:val="center"/>
        </w:trPr>
        <w:tc>
          <w:tcPr>
            <w:tcW w:w="84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lang w:val="en-US"/>
              </w:rPr>
              <w:t>年度总体目标</w:t>
            </w:r>
          </w:p>
        </w:tc>
        <w:tc>
          <w:tcPr>
            <w:tcW w:w="4321" w:type="dxa"/>
            <w:gridSpan w:val="7"/>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预期目标</w:t>
            </w:r>
          </w:p>
        </w:tc>
        <w:tc>
          <w:tcPr>
            <w:tcW w:w="3591" w:type="dxa"/>
            <w:gridSpan w:val="1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5" w:type="dxa"/>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4321" w:type="dxa"/>
            <w:gridSpan w:val="7"/>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保障支援抗疫人员的生活物资充足，给予支援抗疫人员适宜的人员补助。</w:t>
            </w:r>
          </w:p>
        </w:tc>
        <w:tc>
          <w:tcPr>
            <w:tcW w:w="3591" w:type="dxa"/>
            <w:gridSpan w:val="1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做到了及时发放抗议人员补助，并购买相应生活物资。但因疫情原因，购买物资后未能及时支付款项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jc w:val="center"/>
        </w:trPr>
        <w:tc>
          <w:tcPr>
            <w:tcW w:w="84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绩</w:t>
            </w:r>
            <w:r>
              <w:rPr>
                <w:rFonts w:hint="eastAsia" w:ascii="宋体" w:hAnsi="宋体" w:eastAsia="宋体" w:cs="宋体"/>
                <w:color w:val="auto"/>
                <w:sz w:val="18"/>
                <w:szCs w:val="18"/>
                <w:lang w:val="en-US"/>
              </w:rPr>
              <w:t xml:space="preserve">  </w:t>
            </w:r>
            <w:r>
              <w:rPr>
                <w:rFonts w:hint="eastAsia" w:ascii="宋体" w:hAnsi="宋体" w:eastAsia="宋体" w:cs="宋体"/>
                <w:color w:val="auto"/>
                <w:sz w:val="18"/>
                <w:szCs w:val="18"/>
              </w:rPr>
              <w:t>效</w:t>
            </w:r>
            <w:r>
              <w:rPr>
                <w:rFonts w:hint="eastAsia" w:ascii="宋体" w:hAnsi="宋体" w:eastAsia="宋体" w:cs="宋体"/>
                <w:color w:val="auto"/>
                <w:sz w:val="18"/>
                <w:szCs w:val="18"/>
                <w:lang w:val="en-US"/>
              </w:rPr>
              <w:t xml:space="preserve"> </w:t>
            </w:r>
            <w:r>
              <w:rPr>
                <w:rFonts w:hint="eastAsia" w:ascii="宋体" w:hAnsi="宋体" w:eastAsia="宋体" w:cs="宋体"/>
                <w:color w:val="auto"/>
                <w:sz w:val="18"/>
                <w:szCs w:val="18"/>
              </w:rPr>
              <w:t>指</w:t>
            </w:r>
            <w:r>
              <w:rPr>
                <w:rFonts w:hint="eastAsia" w:ascii="宋体" w:hAnsi="宋体" w:eastAsia="宋体" w:cs="宋体"/>
                <w:color w:val="auto"/>
                <w:sz w:val="18"/>
                <w:szCs w:val="18"/>
                <w:lang w:val="en-US"/>
              </w:rPr>
              <w:t xml:space="preserve">  </w:t>
            </w:r>
            <w:r>
              <w:rPr>
                <w:rFonts w:hint="eastAsia" w:ascii="宋体" w:hAnsi="宋体" w:eastAsia="宋体" w:cs="宋体"/>
                <w:color w:val="auto"/>
                <w:sz w:val="18"/>
                <w:szCs w:val="18"/>
              </w:rPr>
              <w:t>标（</w:t>
            </w:r>
            <w:r>
              <w:rPr>
                <w:rFonts w:hint="eastAsia" w:ascii="宋体" w:hAnsi="宋体" w:eastAsia="宋体" w:cs="宋体"/>
                <w:color w:val="auto"/>
                <w:sz w:val="18"/>
                <w:szCs w:val="18"/>
                <w:lang w:val="en-US"/>
              </w:rPr>
              <w:t>90</w:t>
            </w:r>
            <w:r>
              <w:rPr>
                <w:rFonts w:hint="eastAsia" w:ascii="宋体" w:hAnsi="宋体" w:eastAsia="宋体" w:cs="宋体"/>
                <w:color w:val="auto"/>
                <w:sz w:val="18"/>
                <w:szCs w:val="18"/>
              </w:rPr>
              <w:t>）</w:t>
            </w:r>
          </w:p>
        </w:tc>
        <w:tc>
          <w:tcPr>
            <w:tcW w:w="93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一级指标</w:t>
            </w:r>
          </w:p>
        </w:tc>
        <w:tc>
          <w:tcPr>
            <w:tcW w:w="147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二级指标</w:t>
            </w:r>
          </w:p>
        </w:tc>
        <w:tc>
          <w:tcPr>
            <w:tcW w:w="112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三级指标</w:t>
            </w:r>
          </w:p>
        </w:tc>
        <w:tc>
          <w:tcPr>
            <w:tcW w:w="78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年度指标值</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实际完成值</w:t>
            </w:r>
          </w:p>
        </w:tc>
        <w:tc>
          <w:tcPr>
            <w:tcW w:w="58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分值</w:t>
            </w:r>
          </w:p>
        </w:tc>
        <w:tc>
          <w:tcPr>
            <w:tcW w:w="66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得分</w:t>
            </w:r>
          </w:p>
        </w:tc>
        <w:tc>
          <w:tcPr>
            <w:tcW w:w="1674"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7"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产出指标（</w:t>
            </w:r>
            <w:r>
              <w:rPr>
                <w:rFonts w:hint="eastAsia" w:ascii="宋体" w:hAnsi="宋体" w:eastAsia="宋体" w:cs="宋体"/>
                <w:color w:val="auto"/>
                <w:sz w:val="18"/>
                <w:szCs w:val="18"/>
                <w:lang w:val="en-US"/>
              </w:rPr>
              <w:t>50</w:t>
            </w:r>
            <w:r>
              <w:rPr>
                <w:rFonts w:hint="eastAsia" w:ascii="宋体" w:hAnsi="宋体" w:eastAsia="宋体" w:cs="宋体"/>
                <w:color w:val="auto"/>
                <w:sz w:val="18"/>
                <w:szCs w:val="18"/>
              </w:rPr>
              <w:t>）</w:t>
            </w:r>
          </w:p>
        </w:tc>
        <w:tc>
          <w:tcPr>
            <w:tcW w:w="1475"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数量指标</w:t>
            </w:r>
          </w:p>
        </w:tc>
        <w:tc>
          <w:tcPr>
            <w:tcW w:w="112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生活保障物资</w:t>
            </w:r>
          </w:p>
        </w:tc>
        <w:tc>
          <w:tcPr>
            <w:tcW w:w="78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1批</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1批</w:t>
            </w:r>
          </w:p>
        </w:tc>
        <w:tc>
          <w:tcPr>
            <w:tcW w:w="585"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5</w:t>
            </w:r>
          </w:p>
        </w:tc>
        <w:tc>
          <w:tcPr>
            <w:tcW w:w="666"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color w:val="auto"/>
                <w:lang w:val="en-US"/>
              </w:rPr>
            </w:pPr>
            <w:r>
              <w:rPr>
                <w:rFonts w:hint="eastAsia" w:ascii="宋体" w:hAnsi="宋体" w:eastAsia="宋体" w:cs="宋体"/>
                <w:color w:val="auto"/>
                <w:sz w:val="18"/>
                <w:szCs w:val="18"/>
                <w:lang w:val="en-US" w:eastAsia="zh-CN"/>
              </w:rPr>
              <w:t>5</w:t>
            </w:r>
          </w:p>
        </w:tc>
        <w:tc>
          <w:tcPr>
            <w:tcW w:w="1674"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5" w:type="dxa"/>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7"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475"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12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抗议人员补助</w:t>
            </w:r>
          </w:p>
        </w:tc>
        <w:tc>
          <w:tcPr>
            <w:tcW w:w="78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31人</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31人 </w:t>
            </w:r>
          </w:p>
        </w:tc>
        <w:tc>
          <w:tcPr>
            <w:tcW w:w="585"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10 </w:t>
            </w:r>
          </w:p>
        </w:tc>
        <w:tc>
          <w:tcPr>
            <w:tcW w:w="666"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w:t>
            </w:r>
          </w:p>
        </w:tc>
        <w:tc>
          <w:tcPr>
            <w:tcW w:w="1674"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7"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475"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质量指标</w:t>
            </w:r>
          </w:p>
        </w:tc>
        <w:tc>
          <w:tcPr>
            <w:tcW w:w="112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生活物资验收合格率</w:t>
            </w:r>
          </w:p>
        </w:tc>
        <w:tc>
          <w:tcPr>
            <w:tcW w:w="78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100%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100%</w:t>
            </w:r>
          </w:p>
        </w:tc>
        <w:tc>
          <w:tcPr>
            <w:tcW w:w="585"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10</w:t>
            </w:r>
          </w:p>
        </w:tc>
        <w:tc>
          <w:tcPr>
            <w:tcW w:w="666"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eastAsia="zh-CN"/>
              </w:rPr>
              <w:t>10</w:t>
            </w:r>
            <w:r>
              <w:rPr>
                <w:rFonts w:hint="eastAsia" w:ascii="宋体" w:hAnsi="宋体" w:eastAsia="宋体" w:cs="宋体"/>
                <w:color w:val="auto"/>
                <w:sz w:val="18"/>
                <w:szCs w:val="18"/>
              </w:rPr>
              <w:t>　</w:t>
            </w:r>
          </w:p>
        </w:tc>
        <w:tc>
          <w:tcPr>
            <w:tcW w:w="1674"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7"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475"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12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资金发放安全性</w:t>
            </w:r>
          </w:p>
        </w:tc>
        <w:tc>
          <w:tcPr>
            <w:tcW w:w="78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rFonts w:hint="default" w:eastAsia="宋体"/>
                <w:color w:val="auto"/>
                <w:lang w:val="en-US" w:eastAsia="zh-CN"/>
              </w:rPr>
            </w:pPr>
            <w:r>
              <w:rPr>
                <w:rFonts w:hint="eastAsia" w:ascii="宋体" w:hAnsi="宋体" w:eastAsia="宋体" w:cs="宋体"/>
                <w:color w:val="auto"/>
                <w:sz w:val="18"/>
                <w:szCs w:val="18"/>
                <w:lang w:val="en-US" w:eastAsia="zh-CN"/>
              </w:rPr>
              <w:t>严格按照资金用途使用资金保障资金安全</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rFonts w:hint="default" w:eastAsia="宋体"/>
                <w:color w:val="auto"/>
                <w:lang w:val="en-US" w:eastAsia="zh-CN"/>
              </w:rPr>
            </w:pPr>
            <w:r>
              <w:rPr>
                <w:rFonts w:hint="eastAsia" w:ascii="宋体" w:hAnsi="宋体" w:eastAsia="宋体" w:cs="宋体"/>
                <w:color w:val="auto"/>
                <w:sz w:val="18"/>
                <w:szCs w:val="18"/>
                <w:lang w:val="en-US" w:eastAsia="zh-CN"/>
              </w:rPr>
              <w:t>严格按照资金用途使用资金保障资金安全</w:t>
            </w:r>
          </w:p>
        </w:tc>
        <w:tc>
          <w:tcPr>
            <w:tcW w:w="585"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5</w:t>
            </w:r>
          </w:p>
        </w:tc>
        <w:tc>
          <w:tcPr>
            <w:tcW w:w="666"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eastAsia="zh-CN"/>
              </w:rPr>
              <w:t>5</w:t>
            </w:r>
          </w:p>
        </w:tc>
        <w:tc>
          <w:tcPr>
            <w:tcW w:w="1674"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5" w:type="dxa"/>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7"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475"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时效指标</w:t>
            </w:r>
          </w:p>
        </w:tc>
        <w:tc>
          <w:tcPr>
            <w:tcW w:w="112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发放补助及时率</w:t>
            </w:r>
          </w:p>
        </w:tc>
        <w:tc>
          <w:tcPr>
            <w:tcW w:w="78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100%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100%</w:t>
            </w:r>
          </w:p>
        </w:tc>
        <w:tc>
          <w:tcPr>
            <w:tcW w:w="585"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5</w:t>
            </w:r>
          </w:p>
        </w:tc>
        <w:tc>
          <w:tcPr>
            <w:tcW w:w="666"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5</w:t>
            </w:r>
          </w:p>
        </w:tc>
        <w:tc>
          <w:tcPr>
            <w:tcW w:w="1674"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7"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475"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12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购买物资及时率</w:t>
            </w:r>
          </w:p>
        </w:tc>
        <w:tc>
          <w:tcPr>
            <w:tcW w:w="78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100%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100%</w:t>
            </w:r>
          </w:p>
        </w:tc>
        <w:tc>
          <w:tcPr>
            <w:tcW w:w="585"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5</w:t>
            </w:r>
          </w:p>
        </w:tc>
        <w:tc>
          <w:tcPr>
            <w:tcW w:w="666"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color w:val="auto"/>
                <w:lang w:val="en-US"/>
              </w:rPr>
            </w:pPr>
            <w:r>
              <w:rPr>
                <w:rFonts w:hint="eastAsia" w:ascii="宋体" w:hAnsi="宋体" w:eastAsia="宋体" w:cs="宋体"/>
                <w:color w:val="auto"/>
                <w:sz w:val="18"/>
                <w:szCs w:val="18"/>
                <w:lang w:val="en-US" w:eastAsia="zh-CN"/>
              </w:rPr>
              <w:t>5</w:t>
            </w:r>
          </w:p>
        </w:tc>
        <w:tc>
          <w:tcPr>
            <w:tcW w:w="1674"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7"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475"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成本指标</w:t>
            </w:r>
          </w:p>
        </w:tc>
        <w:tc>
          <w:tcPr>
            <w:tcW w:w="112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生活物资</w:t>
            </w:r>
          </w:p>
        </w:tc>
        <w:tc>
          <w:tcPr>
            <w:tcW w:w="78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14291</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　</w:t>
            </w:r>
          </w:p>
        </w:tc>
        <w:tc>
          <w:tcPr>
            <w:tcW w:w="585"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5</w:t>
            </w:r>
          </w:p>
        </w:tc>
        <w:tc>
          <w:tcPr>
            <w:tcW w:w="666"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　</w:t>
            </w:r>
          </w:p>
        </w:tc>
        <w:tc>
          <w:tcPr>
            <w:tcW w:w="1674"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购买物资后未能及时付款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5" w:type="dxa"/>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7"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475"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12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人员补助</w:t>
            </w:r>
          </w:p>
        </w:tc>
        <w:tc>
          <w:tcPr>
            <w:tcW w:w="78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387600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387600</w:t>
            </w:r>
          </w:p>
        </w:tc>
        <w:tc>
          <w:tcPr>
            <w:tcW w:w="585"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5</w:t>
            </w:r>
          </w:p>
        </w:tc>
        <w:tc>
          <w:tcPr>
            <w:tcW w:w="666"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eastAsia="zh-CN"/>
              </w:rPr>
              <w:t>5</w:t>
            </w:r>
          </w:p>
        </w:tc>
        <w:tc>
          <w:tcPr>
            <w:tcW w:w="1674"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7" w:type="dxa"/>
            <w:gridSpan w:val="2"/>
            <w:vMerge w:val="restart"/>
            <w:tcBorders>
              <w:top w:val="nil"/>
              <w:left w:val="nil"/>
              <w:right w:val="single" w:color="auto" w:sz="8" w:space="0"/>
            </w:tcBorders>
            <w:shd w:val="clear" w:color="auto" w:fill="auto"/>
            <w:tcMar>
              <w:left w:w="108" w:type="dxa"/>
              <w:right w:w="108" w:type="dxa"/>
            </w:tcMar>
            <w:vAlign w:val="center"/>
          </w:tcPr>
          <w:p>
            <w:pPr>
              <w:jc w:val="center"/>
              <w:rPr>
                <w:rFonts w:hint="eastAsia" w:ascii="宋体" w:eastAsia="宋体"/>
                <w:color w:val="auto"/>
                <w:sz w:val="24"/>
                <w:szCs w:val="24"/>
                <w:lang w:eastAsia="zh-CN"/>
              </w:rPr>
            </w:pPr>
            <w:r>
              <w:rPr>
                <w:rFonts w:hint="eastAsia" w:ascii="宋体" w:hAnsi="宋体" w:eastAsia="宋体" w:cs="宋体"/>
                <w:color w:val="auto"/>
                <w:sz w:val="18"/>
                <w:szCs w:val="18"/>
              </w:rPr>
              <w:t>效益指标（</w:t>
            </w:r>
            <w:r>
              <w:rPr>
                <w:rFonts w:hint="eastAsia" w:ascii="宋体" w:hAnsi="宋体" w:eastAsia="宋体" w:cs="宋体"/>
                <w:color w:val="auto"/>
                <w:sz w:val="18"/>
                <w:szCs w:val="18"/>
                <w:lang w:val="en-US"/>
              </w:rPr>
              <w:t>30</w:t>
            </w:r>
            <w:r>
              <w:rPr>
                <w:rFonts w:hint="eastAsia" w:ascii="宋体" w:hAnsi="宋体" w:eastAsia="宋体" w:cs="宋体"/>
                <w:color w:val="auto"/>
                <w:sz w:val="18"/>
                <w:szCs w:val="18"/>
                <w:lang w:val="en-US" w:eastAsia="zh-CN"/>
              </w:rPr>
              <w:t>）</w:t>
            </w:r>
          </w:p>
        </w:tc>
        <w:tc>
          <w:tcPr>
            <w:tcW w:w="147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社会效益指标</w:t>
            </w:r>
          </w:p>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lang w:val="en-US"/>
              </w:rPr>
              <w:t> </w:t>
            </w:r>
          </w:p>
        </w:tc>
        <w:tc>
          <w:tcPr>
            <w:tcW w:w="112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提升医护人员形象</w:t>
            </w:r>
          </w:p>
        </w:tc>
        <w:tc>
          <w:tcPr>
            <w:tcW w:w="78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rFonts w:hint="default" w:eastAsia="宋体"/>
                <w:color w:val="auto"/>
                <w:lang w:val="en-US" w:eastAsia="zh-CN"/>
              </w:rPr>
            </w:pPr>
            <w:r>
              <w:rPr>
                <w:rFonts w:hint="eastAsia" w:ascii="宋体" w:hAnsi="宋体" w:eastAsia="宋体" w:cs="宋体"/>
                <w:color w:val="auto"/>
                <w:sz w:val="18"/>
                <w:szCs w:val="18"/>
                <w:lang w:val="en-US" w:eastAsia="zh-CN"/>
              </w:rPr>
              <w:t>有所提升</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rFonts w:hint="default" w:eastAsia="宋体"/>
                <w:color w:val="auto"/>
                <w:lang w:val="en-US" w:eastAsia="zh-CN"/>
              </w:rPr>
            </w:pPr>
            <w:r>
              <w:rPr>
                <w:rFonts w:hint="eastAsia" w:ascii="宋体" w:hAnsi="宋体" w:eastAsia="宋体" w:cs="宋体"/>
                <w:color w:val="auto"/>
                <w:sz w:val="18"/>
                <w:szCs w:val="18"/>
                <w:lang w:val="en-US" w:eastAsia="zh-CN"/>
              </w:rPr>
              <w:t>有所提升</w:t>
            </w:r>
          </w:p>
        </w:tc>
        <w:tc>
          <w:tcPr>
            <w:tcW w:w="585"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rFonts w:hint="default" w:eastAsia="宋体"/>
                <w:color w:val="auto"/>
                <w:lang w:val="en-US" w:eastAsia="zh-CN"/>
              </w:rPr>
            </w:pPr>
            <w:r>
              <w:rPr>
                <w:rFonts w:hint="eastAsia" w:ascii="宋体" w:hAnsi="宋体" w:eastAsia="宋体" w:cs="宋体"/>
                <w:color w:val="auto"/>
                <w:sz w:val="18"/>
                <w:szCs w:val="18"/>
                <w:lang w:val="en-US" w:eastAsia="zh-CN"/>
              </w:rPr>
              <w:t>15</w:t>
            </w:r>
            <w:r>
              <w:rPr>
                <w:rFonts w:hint="eastAsia" w:ascii="宋体" w:hAnsi="宋体" w:eastAsia="宋体" w:cs="宋体"/>
                <w:color w:val="auto"/>
                <w:sz w:val="18"/>
                <w:szCs w:val="18"/>
              </w:rPr>
              <w:t>　</w:t>
            </w:r>
          </w:p>
        </w:tc>
        <w:tc>
          <w:tcPr>
            <w:tcW w:w="666"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color w:val="auto"/>
              </w:rPr>
            </w:pPr>
            <w:r>
              <w:rPr>
                <w:rFonts w:hint="eastAsia" w:ascii="宋体" w:hAnsi="宋体" w:eastAsia="宋体" w:cs="宋体"/>
                <w:color w:val="auto"/>
                <w:sz w:val="18"/>
                <w:szCs w:val="18"/>
                <w:lang w:val="en-US" w:eastAsia="zh-CN"/>
              </w:rPr>
              <w:t>15</w:t>
            </w:r>
            <w:r>
              <w:rPr>
                <w:rFonts w:hint="eastAsia" w:ascii="宋体" w:hAnsi="宋体" w:eastAsia="宋体" w:cs="宋体"/>
                <w:color w:val="auto"/>
                <w:sz w:val="18"/>
                <w:szCs w:val="18"/>
              </w:rPr>
              <w:t>　</w:t>
            </w:r>
          </w:p>
        </w:tc>
        <w:tc>
          <w:tcPr>
            <w:tcW w:w="1674"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7" w:type="dxa"/>
            <w:gridSpan w:val="2"/>
            <w:vMerge w:val="continue"/>
            <w:tcBorders>
              <w:left w:val="nil"/>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47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可持续影响 指</w:t>
            </w:r>
            <w:r>
              <w:rPr>
                <w:rFonts w:hint="eastAsia" w:ascii="宋体" w:hAnsi="宋体" w:eastAsia="宋体" w:cs="宋体"/>
                <w:color w:val="auto"/>
                <w:sz w:val="18"/>
                <w:szCs w:val="18"/>
                <w:lang w:val="en-US"/>
              </w:rPr>
              <w:t xml:space="preserve">    </w:t>
            </w:r>
            <w:r>
              <w:rPr>
                <w:rFonts w:hint="eastAsia" w:ascii="宋体" w:hAnsi="宋体" w:eastAsia="宋体" w:cs="宋体"/>
                <w:color w:val="auto"/>
                <w:sz w:val="18"/>
                <w:szCs w:val="18"/>
              </w:rPr>
              <w:t>标</w:t>
            </w:r>
          </w:p>
        </w:tc>
        <w:tc>
          <w:tcPr>
            <w:tcW w:w="112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及时发放疫情补助，持续影响外出援助人员工作积极性</w:t>
            </w:r>
          </w:p>
        </w:tc>
        <w:tc>
          <w:tcPr>
            <w:tcW w:w="78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color w:val="auto"/>
              </w:rPr>
            </w:pPr>
            <w:r>
              <w:rPr>
                <w:rFonts w:hint="eastAsia" w:ascii="宋体" w:hAnsi="宋体" w:eastAsia="宋体" w:cs="宋体"/>
                <w:color w:val="auto"/>
                <w:sz w:val="18"/>
                <w:szCs w:val="18"/>
                <w:lang w:val="en-US" w:eastAsia="zh-CN"/>
              </w:rPr>
              <w:t>有所影响</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color w:val="auto"/>
              </w:rPr>
            </w:pPr>
            <w:r>
              <w:rPr>
                <w:rFonts w:hint="eastAsia" w:ascii="宋体" w:hAnsi="宋体" w:eastAsia="宋体" w:cs="宋体"/>
                <w:color w:val="auto"/>
                <w:sz w:val="18"/>
                <w:szCs w:val="18"/>
                <w:lang w:val="en-US" w:eastAsia="zh-CN"/>
              </w:rPr>
              <w:t>有所影响</w:t>
            </w:r>
          </w:p>
        </w:tc>
        <w:tc>
          <w:tcPr>
            <w:tcW w:w="585"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color w:val="auto"/>
              </w:rPr>
            </w:pPr>
            <w:r>
              <w:rPr>
                <w:rFonts w:hint="eastAsia" w:ascii="宋体" w:hAnsi="宋体" w:eastAsia="宋体" w:cs="宋体"/>
                <w:color w:val="auto"/>
                <w:sz w:val="18"/>
                <w:szCs w:val="18"/>
                <w:lang w:val="en-US" w:eastAsia="zh-CN"/>
              </w:rPr>
              <w:t>15</w:t>
            </w:r>
            <w:r>
              <w:rPr>
                <w:rFonts w:hint="eastAsia" w:ascii="宋体" w:hAnsi="宋体" w:eastAsia="宋体" w:cs="宋体"/>
                <w:color w:val="auto"/>
                <w:sz w:val="18"/>
                <w:szCs w:val="18"/>
              </w:rPr>
              <w:t>　</w:t>
            </w:r>
          </w:p>
        </w:tc>
        <w:tc>
          <w:tcPr>
            <w:tcW w:w="666"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color w:val="auto"/>
              </w:rPr>
            </w:pPr>
            <w:r>
              <w:rPr>
                <w:rFonts w:hint="eastAsia" w:ascii="宋体" w:hAnsi="宋体" w:eastAsia="宋体" w:cs="宋体"/>
                <w:color w:val="auto"/>
                <w:sz w:val="18"/>
                <w:szCs w:val="18"/>
                <w:lang w:val="en-US" w:eastAsia="zh-CN"/>
              </w:rPr>
              <w:t>15</w:t>
            </w:r>
            <w:r>
              <w:rPr>
                <w:rFonts w:hint="eastAsia" w:ascii="宋体" w:hAnsi="宋体" w:eastAsia="宋体" w:cs="宋体"/>
                <w:color w:val="auto"/>
                <w:sz w:val="18"/>
                <w:szCs w:val="18"/>
              </w:rPr>
              <w:t>　</w:t>
            </w:r>
          </w:p>
        </w:tc>
        <w:tc>
          <w:tcPr>
            <w:tcW w:w="1674"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5" w:type="dxa"/>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满意度 指</w:t>
            </w:r>
            <w:r>
              <w:rPr>
                <w:rFonts w:hint="eastAsia" w:ascii="宋体" w:hAnsi="宋体" w:eastAsia="宋体" w:cs="宋体"/>
                <w:color w:val="auto"/>
                <w:sz w:val="18"/>
                <w:szCs w:val="18"/>
                <w:lang w:val="en-US"/>
              </w:rPr>
              <w:t xml:space="preserve">  </w:t>
            </w:r>
            <w:r>
              <w:rPr>
                <w:rFonts w:hint="eastAsia" w:ascii="宋体" w:hAnsi="宋体" w:eastAsia="宋体" w:cs="宋体"/>
                <w:color w:val="auto"/>
                <w:sz w:val="18"/>
                <w:szCs w:val="18"/>
              </w:rPr>
              <w:t>标（</w:t>
            </w:r>
            <w:r>
              <w:rPr>
                <w:rFonts w:hint="eastAsia" w:ascii="宋体" w:hAnsi="宋体" w:eastAsia="宋体" w:cs="宋体"/>
                <w:color w:val="auto"/>
                <w:sz w:val="18"/>
                <w:szCs w:val="18"/>
                <w:lang w:val="en-US"/>
              </w:rPr>
              <w:t>10</w:t>
            </w:r>
            <w:r>
              <w:rPr>
                <w:rFonts w:hint="eastAsia" w:ascii="宋体" w:hAnsi="宋体" w:eastAsia="宋体" w:cs="宋体"/>
                <w:color w:val="auto"/>
                <w:sz w:val="18"/>
                <w:szCs w:val="18"/>
              </w:rPr>
              <w:t>）</w:t>
            </w:r>
          </w:p>
        </w:tc>
        <w:tc>
          <w:tcPr>
            <w:tcW w:w="147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服务对象 满意度指标</w:t>
            </w:r>
          </w:p>
        </w:tc>
        <w:tc>
          <w:tcPr>
            <w:tcW w:w="112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支援人员满意度</w:t>
            </w:r>
          </w:p>
        </w:tc>
        <w:tc>
          <w:tcPr>
            <w:tcW w:w="78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95%</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95%</w:t>
            </w:r>
          </w:p>
        </w:tc>
        <w:tc>
          <w:tcPr>
            <w:tcW w:w="585"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10</w:t>
            </w:r>
          </w:p>
        </w:tc>
        <w:tc>
          <w:tcPr>
            <w:tcW w:w="666"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eastAsia="zh-CN"/>
              </w:rPr>
              <w:t>10</w:t>
            </w:r>
            <w:r>
              <w:rPr>
                <w:rFonts w:hint="eastAsia" w:ascii="宋体" w:hAnsi="宋体" w:eastAsia="宋体" w:cs="宋体"/>
                <w:color w:val="auto"/>
                <w:sz w:val="18"/>
                <w:szCs w:val="18"/>
              </w:rPr>
              <w:t>　</w:t>
            </w:r>
          </w:p>
        </w:tc>
        <w:tc>
          <w:tcPr>
            <w:tcW w:w="1674"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jc w:val="center"/>
        </w:trPr>
        <w:tc>
          <w:tcPr>
            <w:tcW w:w="5833" w:type="dxa"/>
            <w:gridSpan w:val="9"/>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总</w:t>
            </w:r>
            <w:r>
              <w:rPr>
                <w:rFonts w:hint="eastAsia" w:ascii="宋体" w:hAnsi="宋体" w:eastAsia="宋体" w:cs="宋体"/>
                <w:color w:val="auto"/>
                <w:sz w:val="18"/>
                <w:szCs w:val="18"/>
                <w:lang w:val="en-US"/>
              </w:rPr>
              <w:t xml:space="preserve">    </w:t>
            </w:r>
            <w:r>
              <w:rPr>
                <w:rFonts w:hint="eastAsia" w:ascii="宋体" w:hAnsi="宋体" w:eastAsia="宋体" w:cs="宋体"/>
                <w:color w:val="auto"/>
                <w:sz w:val="18"/>
                <w:szCs w:val="18"/>
              </w:rPr>
              <w:t>分</w:t>
            </w:r>
          </w:p>
        </w:tc>
        <w:tc>
          <w:tcPr>
            <w:tcW w:w="58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lang w:val="en-US"/>
              </w:rPr>
              <w:t>100</w:t>
            </w:r>
          </w:p>
        </w:tc>
        <w:tc>
          <w:tcPr>
            <w:tcW w:w="666"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94.64</w:t>
            </w:r>
          </w:p>
        </w:tc>
        <w:tc>
          <w:tcPr>
            <w:tcW w:w="1674"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846"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577"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360"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1235"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240"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871"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255"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783"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666" w:type="dxa"/>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234" w:type="dxa"/>
            <w:gridSpan w:val="2"/>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366" w:type="dxa"/>
            <w:gridSpan w:val="2"/>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371" w:type="dxa"/>
            <w:gridSpan w:val="2"/>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295" w:type="dxa"/>
            <w:gridSpan w:val="2"/>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798" w:type="dxa"/>
            <w:gridSpan w:val="2"/>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876" w:type="dxa"/>
            <w:gridSpan w:val="2"/>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r>
    </w:tbl>
    <w:p>
      <w:pPr>
        <w:keepNext w:val="0"/>
        <w:keepLines w:val="0"/>
        <w:widowControl/>
        <w:suppressLineNumbers w:val="0"/>
        <w:spacing w:before="0" w:beforeAutospacing="1" w:after="0" w:afterAutospacing="1" w:line="560" w:lineRule="atLeast"/>
        <w:ind w:left="0" w:right="0" w:firstLine="640"/>
        <w:jc w:val="both"/>
        <w:rPr>
          <w:color w:val="0000FF"/>
          <w:sz w:val="32"/>
          <w:szCs w:val="32"/>
        </w:rPr>
      </w:pPr>
    </w:p>
    <w:p>
      <w:pPr>
        <w:pStyle w:val="2"/>
      </w:pPr>
    </w:p>
    <w:tbl>
      <w:tblPr>
        <w:tblStyle w:val="9"/>
        <w:tblW w:w="88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3"/>
        <w:gridCol w:w="733"/>
        <w:gridCol w:w="113"/>
        <w:gridCol w:w="459"/>
        <w:gridCol w:w="113"/>
        <w:gridCol w:w="247"/>
        <w:gridCol w:w="112"/>
        <w:gridCol w:w="1111"/>
        <w:gridCol w:w="113"/>
        <w:gridCol w:w="127"/>
        <w:gridCol w:w="113"/>
        <w:gridCol w:w="731"/>
        <w:gridCol w:w="113"/>
        <w:gridCol w:w="141"/>
        <w:gridCol w:w="113"/>
        <w:gridCol w:w="623"/>
        <w:gridCol w:w="27"/>
        <w:gridCol w:w="106"/>
        <w:gridCol w:w="696"/>
        <w:gridCol w:w="83"/>
        <w:gridCol w:w="79"/>
        <w:gridCol w:w="121"/>
        <w:gridCol w:w="268"/>
        <w:gridCol w:w="123"/>
        <w:gridCol w:w="256"/>
        <w:gridCol w:w="112"/>
        <w:gridCol w:w="182"/>
        <w:gridCol w:w="164"/>
        <w:gridCol w:w="613"/>
        <w:gridCol w:w="111"/>
        <w:gridCol w:w="749"/>
        <w:gridCol w:w="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06" w:type="dxa"/>
          <w:jc w:val="center"/>
        </w:trPr>
        <w:tc>
          <w:tcPr>
            <w:tcW w:w="8765" w:type="dxa"/>
            <w:gridSpan w:val="31"/>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center"/>
              <w:rPr>
                <w:color w:val="auto"/>
              </w:rPr>
            </w:pPr>
            <w:r>
              <w:rPr>
                <w:rFonts w:hint="eastAsia" w:ascii="方正小标宋简体" w:hAnsi="方正小标宋简体" w:eastAsia="方正小标宋简体" w:cs="方正小标宋简体"/>
                <w:color w:val="auto"/>
                <w:spacing w:val="20"/>
                <w:sz w:val="44"/>
                <w:szCs w:val="44"/>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06" w:type="dxa"/>
          <w:jc w:val="center"/>
        </w:trPr>
        <w:tc>
          <w:tcPr>
            <w:tcW w:w="8765" w:type="dxa"/>
            <w:gridSpan w:val="31"/>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center"/>
              <w:rPr>
                <w:color w:val="auto"/>
              </w:rPr>
            </w:pPr>
            <w:r>
              <w:rPr>
                <w:rFonts w:ascii="方正楷体简体" w:hAnsi="方正楷体简体" w:eastAsia="方正楷体简体" w:cs="方正楷体简体"/>
                <w:color w:val="auto"/>
                <w:sz w:val="32"/>
                <w:szCs w:val="32"/>
              </w:rPr>
              <w:t>（</w:t>
            </w:r>
            <w:r>
              <w:rPr>
                <w:rFonts w:hint="eastAsia" w:ascii="方正楷体简体" w:hAnsi="方正楷体简体" w:eastAsia="方正楷体简体" w:cs="方正楷体简体"/>
                <w:color w:val="auto"/>
                <w:sz w:val="32"/>
                <w:szCs w:val="32"/>
                <w:lang w:val="en-US" w:eastAsia="zh-CN"/>
              </w:rPr>
              <w:t>2022</w:t>
            </w:r>
            <w:r>
              <w:rPr>
                <w:rFonts w:hint="default" w:ascii="方正楷体简体" w:hAnsi="方正楷体简体" w:eastAsia="方正楷体简体" w:cs="方正楷体简体"/>
                <w:color w:val="auto"/>
                <w:sz w:val="32"/>
                <w:szCs w:val="32"/>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06" w:type="dxa"/>
          <w:jc w:val="center"/>
        </w:trPr>
        <w:tc>
          <w:tcPr>
            <w:tcW w:w="1418"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default" w:ascii="方正楷体简体" w:hAnsi="方正楷体简体" w:eastAsia="方正楷体简体" w:cs="方正楷体简体"/>
                <w:color w:val="auto"/>
                <w:sz w:val="18"/>
                <w:szCs w:val="18"/>
              </w:rPr>
              <w:t>项目名称</w:t>
            </w:r>
          </w:p>
        </w:tc>
        <w:tc>
          <w:tcPr>
            <w:tcW w:w="7347" w:type="dxa"/>
            <w:gridSpan w:val="27"/>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精神卫生疾病防治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06" w:type="dxa"/>
          <w:jc w:val="center"/>
        </w:trPr>
        <w:tc>
          <w:tcPr>
            <w:tcW w:w="1418"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主管部门及代码</w:t>
            </w:r>
          </w:p>
        </w:tc>
        <w:tc>
          <w:tcPr>
            <w:tcW w:w="3657" w:type="dxa"/>
            <w:gridSpan w:val="1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内蒙古自治区锡林郭勒盟民政局</w:t>
            </w:r>
          </w:p>
        </w:tc>
        <w:tc>
          <w:tcPr>
            <w:tcW w:w="991"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实施单位</w:t>
            </w:r>
          </w:p>
        </w:tc>
        <w:tc>
          <w:tcPr>
            <w:tcW w:w="2699" w:type="dxa"/>
            <w:gridSpan w:val="10"/>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锡林郭勒盟安神医院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06" w:type="dxa"/>
          <w:jc w:val="center"/>
        </w:trPr>
        <w:tc>
          <w:tcPr>
            <w:tcW w:w="1418" w:type="dxa"/>
            <w:gridSpan w:val="4"/>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项目资金 （万元）</w:t>
            </w:r>
          </w:p>
        </w:tc>
        <w:tc>
          <w:tcPr>
            <w:tcW w:w="1583"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c>
          <w:tcPr>
            <w:tcW w:w="1084"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年初预算数</w:t>
            </w:r>
          </w:p>
        </w:tc>
        <w:tc>
          <w:tcPr>
            <w:tcW w:w="990"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全年预算数</w:t>
            </w:r>
          </w:p>
        </w:tc>
        <w:tc>
          <w:tcPr>
            <w:tcW w:w="991" w:type="dxa"/>
            <w:gridSpan w:val="5"/>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全年执行数</w:t>
            </w:r>
          </w:p>
        </w:tc>
        <w:tc>
          <w:tcPr>
            <w:tcW w:w="768"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分值</w:t>
            </w:r>
          </w:p>
        </w:tc>
        <w:tc>
          <w:tcPr>
            <w:tcW w:w="1071"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执行率</w:t>
            </w:r>
          </w:p>
        </w:tc>
        <w:tc>
          <w:tcPr>
            <w:tcW w:w="8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06" w:type="dxa"/>
          <w:jc w:val="center"/>
        </w:trPr>
        <w:tc>
          <w:tcPr>
            <w:tcW w:w="1418" w:type="dxa"/>
            <w:gridSpan w:val="4"/>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583"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年度资金总额</w:t>
            </w:r>
          </w:p>
        </w:tc>
        <w:tc>
          <w:tcPr>
            <w:tcW w:w="1084"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40</w:t>
            </w:r>
          </w:p>
        </w:tc>
        <w:tc>
          <w:tcPr>
            <w:tcW w:w="990"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40</w:t>
            </w:r>
          </w:p>
        </w:tc>
        <w:tc>
          <w:tcPr>
            <w:tcW w:w="991" w:type="dxa"/>
            <w:gridSpan w:val="5"/>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40　</w:t>
            </w:r>
          </w:p>
        </w:tc>
        <w:tc>
          <w:tcPr>
            <w:tcW w:w="768"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w:t>
            </w:r>
          </w:p>
        </w:tc>
        <w:tc>
          <w:tcPr>
            <w:tcW w:w="1071"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100%</w:t>
            </w:r>
          </w:p>
        </w:tc>
        <w:tc>
          <w:tcPr>
            <w:tcW w:w="8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06" w:type="dxa"/>
          <w:jc w:val="center"/>
        </w:trPr>
        <w:tc>
          <w:tcPr>
            <w:tcW w:w="1418" w:type="dxa"/>
            <w:gridSpan w:val="4"/>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583"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其中：财政拨款</w:t>
            </w:r>
          </w:p>
        </w:tc>
        <w:tc>
          <w:tcPr>
            <w:tcW w:w="1084"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40</w:t>
            </w:r>
          </w:p>
        </w:tc>
        <w:tc>
          <w:tcPr>
            <w:tcW w:w="990"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40</w:t>
            </w:r>
          </w:p>
        </w:tc>
        <w:tc>
          <w:tcPr>
            <w:tcW w:w="991" w:type="dxa"/>
            <w:gridSpan w:val="5"/>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40</w:t>
            </w:r>
          </w:p>
        </w:tc>
        <w:tc>
          <w:tcPr>
            <w:tcW w:w="768"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p>
        </w:tc>
        <w:tc>
          <w:tcPr>
            <w:tcW w:w="1071"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100%</w:t>
            </w:r>
          </w:p>
        </w:tc>
        <w:tc>
          <w:tcPr>
            <w:tcW w:w="8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color w:val="auto"/>
                <w:sz w:val="18"/>
                <w:szCs w:val="18"/>
                <w:lang w:val="en-US" w:eastAsia="zh-CN"/>
              </w:rPr>
            </w:pPr>
            <w:r>
              <w:rPr>
                <w:rFonts w:hint="default" w:ascii="宋体" w:hAnsi="宋体" w:eastAsia="宋体" w:cs="宋体"/>
                <w:color w:val="auto"/>
                <w:sz w:val="18"/>
                <w:szCs w:val="18"/>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06" w:type="dxa"/>
          <w:jc w:val="center"/>
        </w:trPr>
        <w:tc>
          <w:tcPr>
            <w:tcW w:w="1418" w:type="dxa"/>
            <w:gridSpan w:val="4"/>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583"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rPr>
              <w:t>  </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其他资金</w:t>
            </w:r>
          </w:p>
        </w:tc>
        <w:tc>
          <w:tcPr>
            <w:tcW w:w="1084"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c>
          <w:tcPr>
            <w:tcW w:w="990"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c>
          <w:tcPr>
            <w:tcW w:w="991" w:type="dxa"/>
            <w:gridSpan w:val="5"/>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c>
          <w:tcPr>
            <w:tcW w:w="768"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default" w:ascii="Courier New" w:hAnsi="Courier New" w:cs="Courier New"/>
                <w:color w:val="auto"/>
                <w:sz w:val="18"/>
                <w:szCs w:val="18"/>
                <w:lang w:val="en-US"/>
              </w:rPr>
              <w:t>-</w:t>
            </w:r>
          </w:p>
        </w:tc>
        <w:tc>
          <w:tcPr>
            <w:tcW w:w="1071"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c>
          <w:tcPr>
            <w:tcW w:w="8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default" w:ascii="Courier New" w:hAnsi="Courier New" w:cs="Courier New"/>
                <w:color w:val="auto"/>
                <w:sz w:val="18"/>
                <w:szCs w:val="18"/>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06" w:type="dxa"/>
          <w:jc w:val="center"/>
        </w:trPr>
        <w:tc>
          <w:tcPr>
            <w:tcW w:w="846" w:type="dxa"/>
            <w:gridSpan w:val="2"/>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lang w:val="en-US"/>
              </w:rPr>
              <w:t>年度总体目标</w:t>
            </w:r>
          </w:p>
        </w:tc>
        <w:tc>
          <w:tcPr>
            <w:tcW w:w="4229" w:type="dxa"/>
            <w:gridSpan w:val="1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预期目标</w:t>
            </w:r>
          </w:p>
        </w:tc>
        <w:tc>
          <w:tcPr>
            <w:tcW w:w="3690" w:type="dxa"/>
            <w:gridSpan w:val="15"/>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06" w:type="dxa"/>
          <w:jc w:val="center"/>
        </w:trPr>
        <w:tc>
          <w:tcPr>
            <w:tcW w:w="846"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4229" w:type="dxa"/>
            <w:gridSpan w:val="1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通过免费赠药项目提高贫困精神患者服药率，降低社会危害。</w:t>
            </w:r>
          </w:p>
        </w:tc>
        <w:tc>
          <w:tcPr>
            <w:tcW w:w="3690" w:type="dxa"/>
            <w:gridSpan w:val="15"/>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已完成年初预定目标，发放免费赠药。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06" w:type="dxa"/>
          <w:jc w:val="center"/>
        </w:trPr>
        <w:tc>
          <w:tcPr>
            <w:tcW w:w="846" w:type="dxa"/>
            <w:gridSpan w:val="2"/>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绩</w:t>
            </w:r>
            <w:r>
              <w:rPr>
                <w:rFonts w:hint="eastAsia" w:ascii="宋体" w:hAnsi="宋体" w:eastAsia="宋体" w:cs="宋体"/>
                <w:color w:val="auto"/>
                <w:sz w:val="18"/>
                <w:szCs w:val="18"/>
                <w:lang w:val="en-US"/>
              </w:rPr>
              <w:t xml:space="preserve">  </w:t>
            </w:r>
            <w:r>
              <w:rPr>
                <w:rFonts w:hint="eastAsia" w:ascii="宋体" w:hAnsi="宋体" w:eastAsia="宋体" w:cs="宋体"/>
                <w:color w:val="auto"/>
                <w:sz w:val="18"/>
                <w:szCs w:val="18"/>
              </w:rPr>
              <w:t>效</w:t>
            </w:r>
            <w:r>
              <w:rPr>
                <w:rFonts w:hint="eastAsia" w:ascii="宋体" w:hAnsi="宋体" w:eastAsia="宋体" w:cs="宋体"/>
                <w:color w:val="auto"/>
                <w:sz w:val="18"/>
                <w:szCs w:val="18"/>
                <w:lang w:val="en-US"/>
              </w:rPr>
              <w:t xml:space="preserve"> </w:t>
            </w:r>
            <w:r>
              <w:rPr>
                <w:rFonts w:hint="eastAsia" w:ascii="宋体" w:hAnsi="宋体" w:eastAsia="宋体" w:cs="宋体"/>
                <w:color w:val="auto"/>
                <w:sz w:val="18"/>
                <w:szCs w:val="18"/>
              </w:rPr>
              <w:t>指</w:t>
            </w:r>
            <w:r>
              <w:rPr>
                <w:rFonts w:hint="eastAsia" w:ascii="宋体" w:hAnsi="宋体" w:eastAsia="宋体" w:cs="宋体"/>
                <w:color w:val="auto"/>
                <w:sz w:val="18"/>
                <w:szCs w:val="18"/>
                <w:lang w:val="en-US"/>
              </w:rPr>
              <w:t xml:space="preserve">  </w:t>
            </w:r>
            <w:r>
              <w:rPr>
                <w:rFonts w:hint="eastAsia" w:ascii="宋体" w:hAnsi="宋体" w:eastAsia="宋体" w:cs="宋体"/>
                <w:color w:val="auto"/>
                <w:sz w:val="18"/>
                <w:szCs w:val="18"/>
              </w:rPr>
              <w:t>标（</w:t>
            </w:r>
            <w:r>
              <w:rPr>
                <w:rFonts w:hint="eastAsia" w:ascii="宋体" w:hAnsi="宋体" w:eastAsia="宋体" w:cs="宋体"/>
                <w:color w:val="auto"/>
                <w:sz w:val="18"/>
                <w:szCs w:val="18"/>
                <w:lang w:val="en-US"/>
              </w:rPr>
              <w:t>90</w:t>
            </w:r>
            <w:r>
              <w:rPr>
                <w:rFonts w:hint="eastAsia" w:ascii="宋体" w:hAnsi="宋体" w:eastAsia="宋体" w:cs="宋体"/>
                <w:color w:val="auto"/>
                <w:sz w:val="18"/>
                <w:szCs w:val="18"/>
              </w:rPr>
              <w:t>）</w:t>
            </w:r>
          </w:p>
        </w:tc>
        <w:tc>
          <w:tcPr>
            <w:tcW w:w="932"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一级指标</w:t>
            </w:r>
          </w:p>
        </w:tc>
        <w:tc>
          <w:tcPr>
            <w:tcW w:w="1463"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二级指标</w:t>
            </w:r>
          </w:p>
        </w:tc>
        <w:tc>
          <w:tcPr>
            <w:tcW w:w="1098"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三级指标</w:t>
            </w:r>
          </w:p>
        </w:tc>
        <w:tc>
          <w:tcPr>
            <w:tcW w:w="73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年度指标值</w:t>
            </w:r>
          </w:p>
        </w:tc>
        <w:tc>
          <w:tcPr>
            <w:tcW w:w="829"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实际完成值</w:t>
            </w:r>
          </w:p>
        </w:tc>
        <w:tc>
          <w:tcPr>
            <w:tcW w:w="551"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分值</w:t>
            </w:r>
          </w:p>
        </w:tc>
        <w:tc>
          <w:tcPr>
            <w:tcW w:w="673"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得分</w:t>
            </w:r>
          </w:p>
        </w:tc>
        <w:tc>
          <w:tcPr>
            <w:tcW w:w="1637"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06" w:type="dxa"/>
          <w:jc w:val="center"/>
        </w:trPr>
        <w:tc>
          <w:tcPr>
            <w:tcW w:w="846"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2" w:type="dxa"/>
            <w:gridSpan w:val="4"/>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产出指标（</w:t>
            </w:r>
            <w:r>
              <w:rPr>
                <w:rFonts w:hint="eastAsia" w:ascii="宋体" w:hAnsi="宋体" w:eastAsia="宋体" w:cs="宋体"/>
                <w:color w:val="auto"/>
                <w:sz w:val="18"/>
                <w:szCs w:val="18"/>
                <w:lang w:val="en-US"/>
              </w:rPr>
              <w:t>50</w:t>
            </w:r>
            <w:r>
              <w:rPr>
                <w:rFonts w:hint="eastAsia" w:ascii="宋体" w:hAnsi="宋体" w:eastAsia="宋体" w:cs="宋体"/>
                <w:color w:val="auto"/>
                <w:sz w:val="18"/>
                <w:szCs w:val="18"/>
              </w:rPr>
              <w:t>）</w:t>
            </w:r>
          </w:p>
        </w:tc>
        <w:tc>
          <w:tcPr>
            <w:tcW w:w="1463" w:type="dxa"/>
            <w:gridSpan w:val="4"/>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数量指标</w:t>
            </w:r>
          </w:p>
        </w:tc>
        <w:tc>
          <w:tcPr>
            <w:tcW w:w="1098"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免费赠药金额</w:t>
            </w:r>
          </w:p>
        </w:tc>
        <w:tc>
          <w:tcPr>
            <w:tcW w:w="73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40万元</w:t>
            </w:r>
          </w:p>
        </w:tc>
        <w:tc>
          <w:tcPr>
            <w:tcW w:w="829"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36.74万元</w:t>
            </w:r>
          </w:p>
        </w:tc>
        <w:tc>
          <w:tcPr>
            <w:tcW w:w="551"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10</w:t>
            </w:r>
          </w:p>
        </w:tc>
        <w:tc>
          <w:tcPr>
            <w:tcW w:w="673"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color w:val="auto"/>
                <w:lang w:val="en-US"/>
              </w:rPr>
            </w:pPr>
            <w:r>
              <w:rPr>
                <w:rFonts w:hint="eastAsia" w:ascii="宋体" w:hAnsi="宋体" w:eastAsia="宋体" w:cs="宋体"/>
                <w:color w:val="auto"/>
                <w:sz w:val="18"/>
                <w:szCs w:val="18"/>
                <w:lang w:val="en-US" w:eastAsia="zh-CN"/>
              </w:rPr>
              <w:t>9.19</w:t>
            </w:r>
          </w:p>
        </w:tc>
        <w:tc>
          <w:tcPr>
            <w:tcW w:w="1637"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部分费用用于心理危机干预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06" w:type="dxa"/>
          <w:jc w:val="center"/>
        </w:trPr>
        <w:tc>
          <w:tcPr>
            <w:tcW w:w="846"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2" w:type="dxa"/>
            <w:gridSpan w:val="4"/>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463" w:type="dxa"/>
            <w:gridSpan w:val="4"/>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098"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免费赠药例数</w:t>
            </w:r>
          </w:p>
        </w:tc>
        <w:tc>
          <w:tcPr>
            <w:tcW w:w="73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80</w:t>
            </w:r>
          </w:p>
        </w:tc>
        <w:tc>
          <w:tcPr>
            <w:tcW w:w="829"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eastAsia="zh-CN"/>
              </w:rPr>
              <w:t>80</w:t>
            </w:r>
            <w:r>
              <w:rPr>
                <w:rFonts w:hint="eastAsia" w:ascii="宋体" w:hAnsi="宋体" w:eastAsia="宋体" w:cs="宋体"/>
                <w:color w:val="auto"/>
                <w:sz w:val="18"/>
                <w:szCs w:val="18"/>
                <w:lang w:val="en-US"/>
              </w:rPr>
              <w:t> </w:t>
            </w:r>
          </w:p>
        </w:tc>
        <w:tc>
          <w:tcPr>
            <w:tcW w:w="551"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eastAsia="宋体"/>
                <w:color w:val="auto"/>
                <w:lang w:val="en-US" w:eastAsia="zh-CN"/>
              </w:rPr>
            </w:pPr>
            <w:r>
              <w:rPr>
                <w:rFonts w:hint="eastAsia" w:ascii="宋体" w:hAnsi="宋体" w:eastAsia="宋体" w:cs="宋体"/>
                <w:color w:val="auto"/>
                <w:sz w:val="18"/>
                <w:szCs w:val="18"/>
                <w:lang w:val="en-US" w:eastAsia="zh-CN"/>
              </w:rPr>
              <w:t>5</w:t>
            </w:r>
            <w:r>
              <w:rPr>
                <w:rFonts w:hint="eastAsia" w:ascii="宋体" w:hAnsi="宋体" w:eastAsia="宋体" w:cs="宋体"/>
                <w:color w:val="auto"/>
                <w:sz w:val="18"/>
                <w:szCs w:val="18"/>
                <w:lang w:val="en-US"/>
              </w:rPr>
              <w:t> </w:t>
            </w:r>
          </w:p>
        </w:tc>
        <w:tc>
          <w:tcPr>
            <w:tcW w:w="673"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firstLine="180" w:firstLineChars="100"/>
              <w:rPr>
                <w:rFonts w:hint="default" w:eastAsia="宋体"/>
                <w:color w:val="auto"/>
                <w:lang w:val="en-US" w:eastAsia="zh-CN"/>
              </w:rPr>
            </w:pPr>
            <w:r>
              <w:rPr>
                <w:rFonts w:hint="eastAsia" w:ascii="宋体" w:hAnsi="宋体" w:eastAsia="宋体" w:cs="宋体"/>
                <w:color w:val="auto"/>
                <w:sz w:val="18"/>
                <w:szCs w:val="18"/>
                <w:lang w:val="en-US" w:eastAsia="zh-CN"/>
              </w:rPr>
              <w:t>5</w:t>
            </w:r>
          </w:p>
        </w:tc>
        <w:tc>
          <w:tcPr>
            <w:tcW w:w="1637"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06" w:type="dxa"/>
          <w:jc w:val="center"/>
        </w:trPr>
        <w:tc>
          <w:tcPr>
            <w:tcW w:w="846"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2" w:type="dxa"/>
            <w:gridSpan w:val="4"/>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463" w:type="dxa"/>
            <w:gridSpan w:val="4"/>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质量指标</w:t>
            </w:r>
          </w:p>
        </w:tc>
        <w:tc>
          <w:tcPr>
            <w:tcW w:w="1098"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药品合格率</w:t>
            </w:r>
          </w:p>
        </w:tc>
        <w:tc>
          <w:tcPr>
            <w:tcW w:w="73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100%</w:t>
            </w:r>
          </w:p>
        </w:tc>
        <w:tc>
          <w:tcPr>
            <w:tcW w:w="829"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100%</w:t>
            </w:r>
          </w:p>
        </w:tc>
        <w:tc>
          <w:tcPr>
            <w:tcW w:w="551"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10</w:t>
            </w:r>
          </w:p>
        </w:tc>
        <w:tc>
          <w:tcPr>
            <w:tcW w:w="673"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eastAsia="zh-CN"/>
              </w:rPr>
              <w:t>10</w:t>
            </w:r>
            <w:r>
              <w:rPr>
                <w:rFonts w:hint="eastAsia" w:ascii="宋体" w:hAnsi="宋体" w:eastAsia="宋体" w:cs="宋体"/>
                <w:color w:val="auto"/>
                <w:sz w:val="18"/>
                <w:szCs w:val="18"/>
              </w:rPr>
              <w:t>　</w:t>
            </w:r>
          </w:p>
        </w:tc>
        <w:tc>
          <w:tcPr>
            <w:tcW w:w="1637"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06" w:type="dxa"/>
          <w:jc w:val="center"/>
        </w:trPr>
        <w:tc>
          <w:tcPr>
            <w:tcW w:w="846"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2" w:type="dxa"/>
            <w:gridSpan w:val="4"/>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463" w:type="dxa"/>
            <w:gridSpan w:val="4"/>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098"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赠药人群符合要求率</w:t>
            </w:r>
          </w:p>
        </w:tc>
        <w:tc>
          <w:tcPr>
            <w:tcW w:w="73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100%</w:t>
            </w:r>
          </w:p>
        </w:tc>
        <w:tc>
          <w:tcPr>
            <w:tcW w:w="829"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100%</w:t>
            </w:r>
          </w:p>
        </w:tc>
        <w:tc>
          <w:tcPr>
            <w:tcW w:w="551"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5</w:t>
            </w:r>
          </w:p>
        </w:tc>
        <w:tc>
          <w:tcPr>
            <w:tcW w:w="673"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eastAsia="zh-CN"/>
              </w:rPr>
              <w:t>5</w:t>
            </w:r>
          </w:p>
        </w:tc>
        <w:tc>
          <w:tcPr>
            <w:tcW w:w="1637"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06" w:type="dxa"/>
          <w:jc w:val="center"/>
        </w:trPr>
        <w:tc>
          <w:tcPr>
            <w:tcW w:w="846"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2" w:type="dxa"/>
            <w:gridSpan w:val="4"/>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463" w:type="dxa"/>
            <w:gridSpan w:val="4"/>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时效指标</w:t>
            </w:r>
          </w:p>
        </w:tc>
        <w:tc>
          <w:tcPr>
            <w:tcW w:w="1098"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赠药时限</w:t>
            </w:r>
          </w:p>
        </w:tc>
        <w:tc>
          <w:tcPr>
            <w:tcW w:w="73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1年</w:t>
            </w:r>
          </w:p>
        </w:tc>
        <w:tc>
          <w:tcPr>
            <w:tcW w:w="829"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1年</w:t>
            </w:r>
          </w:p>
        </w:tc>
        <w:tc>
          <w:tcPr>
            <w:tcW w:w="551"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5</w:t>
            </w:r>
          </w:p>
        </w:tc>
        <w:tc>
          <w:tcPr>
            <w:tcW w:w="673"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5</w:t>
            </w:r>
          </w:p>
        </w:tc>
        <w:tc>
          <w:tcPr>
            <w:tcW w:w="1637"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06" w:type="dxa"/>
          <w:jc w:val="center"/>
        </w:trPr>
        <w:tc>
          <w:tcPr>
            <w:tcW w:w="846"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2" w:type="dxa"/>
            <w:gridSpan w:val="4"/>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463" w:type="dxa"/>
            <w:gridSpan w:val="4"/>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098"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赠药及时率</w:t>
            </w:r>
          </w:p>
        </w:tc>
        <w:tc>
          <w:tcPr>
            <w:tcW w:w="73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90</w:t>
            </w:r>
          </w:p>
        </w:tc>
        <w:tc>
          <w:tcPr>
            <w:tcW w:w="829"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85</w:t>
            </w:r>
          </w:p>
        </w:tc>
        <w:tc>
          <w:tcPr>
            <w:tcW w:w="551"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5</w:t>
            </w:r>
          </w:p>
        </w:tc>
        <w:tc>
          <w:tcPr>
            <w:tcW w:w="673"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color w:val="auto"/>
                <w:lang w:val="en-US"/>
              </w:rPr>
            </w:pPr>
            <w:r>
              <w:rPr>
                <w:rFonts w:hint="eastAsia" w:ascii="宋体" w:hAnsi="宋体" w:eastAsia="宋体" w:cs="宋体"/>
                <w:color w:val="auto"/>
                <w:sz w:val="18"/>
                <w:szCs w:val="18"/>
                <w:lang w:val="en-US" w:eastAsia="zh-CN"/>
              </w:rPr>
              <w:t>4.72</w:t>
            </w:r>
          </w:p>
        </w:tc>
        <w:tc>
          <w:tcPr>
            <w:tcW w:w="1637"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因疫情封闭原因，影响赠药及时率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06" w:type="dxa"/>
          <w:jc w:val="center"/>
        </w:trPr>
        <w:tc>
          <w:tcPr>
            <w:tcW w:w="846"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2" w:type="dxa"/>
            <w:gridSpan w:val="4"/>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463" w:type="dxa"/>
            <w:gridSpan w:val="4"/>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成本指标</w:t>
            </w:r>
          </w:p>
        </w:tc>
        <w:tc>
          <w:tcPr>
            <w:tcW w:w="1098"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赠药成本</w:t>
            </w:r>
          </w:p>
        </w:tc>
        <w:tc>
          <w:tcPr>
            <w:tcW w:w="73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40</w:t>
            </w:r>
          </w:p>
        </w:tc>
        <w:tc>
          <w:tcPr>
            <w:tcW w:w="829"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eastAsia="zh-CN"/>
              </w:rPr>
              <w:t>36.74</w:t>
            </w:r>
            <w:r>
              <w:rPr>
                <w:rFonts w:hint="eastAsia" w:ascii="宋体" w:hAnsi="宋体" w:eastAsia="宋体" w:cs="宋体"/>
                <w:color w:val="auto"/>
                <w:sz w:val="18"/>
                <w:szCs w:val="18"/>
              </w:rPr>
              <w:t>　</w:t>
            </w:r>
          </w:p>
        </w:tc>
        <w:tc>
          <w:tcPr>
            <w:tcW w:w="551"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5</w:t>
            </w:r>
          </w:p>
        </w:tc>
        <w:tc>
          <w:tcPr>
            <w:tcW w:w="673"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eastAsia="zh-CN"/>
              </w:rPr>
              <w:t>4.59</w:t>
            </w:r>
            <w:r>
              <w:rPr>
                <w:rFonts w:hint="eastAsia" w:ascii="宋体" w:hAnsi="宋体" w:eastAsia="宋体" w:cs="宋体"/>
                <w:color w:val="auto"/>
                <w:sz w:val="18"/>
                <w:szCs w:val="18"/>
              </w:rPr>
              <w:t>　</w:t>
            </w:r>
          </w:p>
        </w:tc>
        <w:tc>
          <w:tcPr>
            <w:tcW w:w="1637"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本年度因疫情原因开展线上心理危机干预，减少了部分赠药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06" w:type="dxa"/>
          <w:jc w:val="center"/>
        </w:trPr>
        <w:tc>
          <w:tcPr>
            <w:tcW w:w="846"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2" w:type="dxa"/>
            <w:gridSpan w:val="4"/>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463" w:type="dxa"/>
            <w:gridSpan w:val="4"/>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098"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节约成本率</w:t>
            </w:r>
          </w:p>
        </w:tc>
        <w:tc>
          <w:tcPr>
            <w:tcW w:w="73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1%</w:t>
            </w:r>
          </w:p>
        </w:tc>
        <w:tc>
          <w:tcPr>
            <w:tcW w:w="829"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0</w:t>
            </w:r>
          </w:p>
        </w:tc>
        <w:tc>
          <w:tcPr>
            <w:tcW w:w="551"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5</w:t>
            </w:r>
          </w:p>
        </w:tc>
        <w:tc>
          <w:tcPr>
            <w:tcW w:w="673"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　</w:t>
            </w:r>
          </w:p>
        </w:tc>
        <w:tc>
          <w:tcPr>
            <w:tcW w:w="1637"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药品采购严格按照国家要求进行阳关采购，成本与年初计划相同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06" w:type="dxa"/>
          <w:jc w:val="center"/>
        </w:trPr>
        <w:tc>
          <w:tcPr>
            <w:tcW w:w="846"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2" w:type="dxa"/>
            <w:gridSpan w:val="4"/>
            <w:vMerge w:val="restart"/>
            <w:tcBorders>
              <w:top w:val="nil"/>
              <w:left w:val="nil"/>
              <w:right w:val="single" w:color="auto" w:sz="8" w:space="0"/>
            </w:tcBorders>
            <w:shd w:val="clear" w:color="auto" w:fill="auto"/>
            <w:tcMar>
              <w:left w:w="108" w:type="dxa"/>
              <w:right w:w="108" w:type="dxa"/>
            </w:tcMar>
            <w:vAlign w:val="center"/>
          </w:tcPr>
          <w:p>
            <w:pPr>
              <w:jc w:val="center"/>
              <w:rPr>
                <w:rFonts w:hint="eastAsia" w:ascii="宋体" w:eastAsia="宋体"/>
                <w:color w:val="auto"/>
                <w:sz w:val="24"/>
                <w:szCs w:val="24"/>
                <w:lang w:eastAsia="zh-CN"/>
              </w:rPr>
            </w:pPr>
            <w:r>
              <w:rPr>
                <w:rFonts w:hint="eastAsia" w:ascii="宋体" w:hAnsi="宋体" w:eastAsia="宋体" w:cs="宋体"/>
                <w:color w:val="auto"/>
                <w:sz w:val="18"/>
                <w:szCs w:val="18"/>
              </w:rPr>
              <w:t>效益指标（</w:t>
            </w:r>
            <w:r>
              <w:rPr>
                <w:rFonts w:hint="eastAsia" w:ascii="宋体" w:hAnsi="宋体" w:eastAsia="宋体" w:cs="宋体"/>
                <w:color w:val="auto"/>
                <w:sz w:val="18"/>
                <w:szCs w:val="18"/>
                <w:lang w:val="en-US"/>
              </w:rPr>
              <w:t>30</w:t>
            </w:r>
            <w:r>
              <w:rPr>
                <w:rFonts w:hint="eastAsia" w:ascii="宋体" w:hAnsi="宋体" w:eastAsia="宋体" w:cs="宋体"/>
                <w:color w:val="auto"/>
                <w:sz w:val="18"/>
                <w:szCs w:val="18"/>
                <w:lang w:val="en-US" w:eastAsia="zh-CN"/>
              </w:rPr>
              <w:t>）</w:t>
            </w:r>
          </w:p>
        </w:tc>
        <w:tc>
          <w:tcPr>
            <w:tcW w:w="1463"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社会效益指标</w:t>
            </w:r>
          </w:p>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lang w:val="en-US"/>
              </w:rPr>
              <w:t> </w:t>
            </w:r>
          </w:p>
        </w:tc>
        <w:tc>
          <w:tcPr>
            <w:tcW w:w="1098"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提高贫困精神障碍患者服药率</w:t>
            </w:r>
          </w:p>
        </w:tc>
        <w:tc>
          <w:tcPr>
            <w:tcW w:w="73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rFonts w:hint="default" w:eastAsia="宋体"/>
                <w:color w:val="auto"/>
                <w:lang w:val="en-US" w:eastAsia="zh-CN"/>
              </w:rPr>
            </w:pPr>
            <w:r>
              <w:rPr>
                <w:rFonts w:hint="eastAsia" w:ascii="宋体" w:hAnsi="宋体" w:eastAsia="宋体" w:cs="宋体"/>
                <w:color w:val="auto"/>
                <w:sz w:val="18"/>
                <w:szCs w:val="18"/>
                <w:lang w:val="en-US" w:eastAsia="zh-CN"/>
              </w:rPr>
              <w:t>有所提升</w:t>
            </w:r>
          </w:p>
        </w:tc>
        <w:tc>
          <w:tcPr>
            <w:tcW w:w="829"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rFonts w:hint="default" w:eastAsia="宋体"/>
                <w:color w:val="auto"/>
                <w:lang w:val="en-US" w:eastAsia="zh-CN"/>
              </w:rPr>
            </w:pPr>
            <w:r>
              <w:rPr>
                <w:rFonts w:hint="eastAsia" w:ascii="宋体" w:hAnsi="宋体" w:eastAsia="宋体" w:cs="宋体"/>
                <w:color w:val="auto"/>
                <w:sz w:val="18"/>
                <w:szCs w:val="18"/>
                <w:lang w:val="en-US" w:eastAsia="zh-CN"/>
              </w:rPr>
              <w:t>有所提升</w:t>
            </w:r>
          </w:p>
        </w:tc>
        <w:tc>
          <w:tcPr>
            <w:tcW w:w="551"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rFonts w:hint="default" w:eastAsia="宋体"/>
                <w:color w:val="auto"/>
                <w:lang w:val="en-US" w:eastAsia="zh-CN"/>
              </w:rPr>
            </w:pPr>
            <w:r>
              <w:rPr>
                <w:rFonts w:hint="eastAsia" w:ascii="宋体" w:hAnsi="宋体" w:eastAsia="宋体" w:cs="宋体"/>
                <w:color w:val="auto"/>
                <w:sz w:val="18"/>
                <w:szCs w:val="18"/>
                <w:lang w:val="en-US" w:eastAsia="zh-CN"/>
              </w:rPr>
              <w:t>15</w:t>
            </w:r>
            <w:r>
              <w:rPr>
                <w:rFonts w:hint="eastAsia" w:ascii="宋体" w:hAnsi="宋体" w:eastAsia="宋体" w:cs="宋体"/>
                <w:color w:val="auto"/>
                <w:sz w:val="18"/>
                <w:szCs w:val="18"/>
              </w:rPr>
              <w:t>　</w:t>
            </w:r>
          </w:p>
        </w:tc>
        <w:tc>
          <w:tcPr>
            <w:tcW w:w="673"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color w:val="auto"/>
              </w:rPr>
            </w:pPr>
            <w:r>
              <w:rPr>
                <w:rFonts w:hint="eastAsia" w:ascii="宋体" w:hAnsi="宋体" w:eastAsia="宋体" w:cs="宋体"/>
                <w:color w:val="auto"/>
                <w:sz w:val="18"/>
                <w:szCs w:val="18"/>
                <w:lang w:val="en-US" w:eastAsia="zh-CN"/>
              </w:rPr>
              <w:t>15</w:t>
            </w:r>
            <w:r>
              <w:rPr>
                <w:rFonts w:hint="eastAsia" w:ascii="宋体" w:hAnsi="宋体" w:eastAsia="宋体" w:cs="宋体"/>
                <w:color w:val="auto"/>
                <w:sz w:val="18"/>
                <w:szCs w:val="18"/>
              </w:rPr>
              <w:t>　</w:t>
            </w:r>
          </w:p>
        </w:tc>
        <w:tc>
          <w:tcPr>
            <w:tcW w:w="1637"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06" w:type="dxa"/>
          <w:jc w:val="center"/>
        </w:trPr>
        <w:tc>
          <w:tcPr>
            <w:tcW w:w="846"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2" w:type="dxa"/>
            <w:gridSpan w:val="4"/>
            <w:vMerge w:val="continue"/>
            <w:tcBorders>
              <w:left w:val="nil"/>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463"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可持续影响 指</w:t>
            </w:r>
            <w:r>
              <w:rPr>
                <w:rFonts w:hint="eastAsia" w:ascii="宋体" w:hAnsi="宋体" w:eastAsia="宋体" w:cs="宋体"/>
                <w:color w:val="auto"/>
                <w:sz w:val="18"/>
                <w:szCs w:val="18"/>
                <w:lang w:val="en-US"/>
              </w:rPr>
              <w:t xml:space="preserve">    </w:t>
            </w:r>
            <w:r>
              <w:rPr>
                <w:rFonts w:hint="eastAsia" w:ascii="宋体" w:hAnsi="宋体" w:eastAsia="宋体" w:cs="宋体"/>
                <w:color w:val="auto"/>
                <w:sz w:val="18"/>
                <w:szCs w:val="18"/>
              </w:rPr>
              <w:t>标</w:t>
            </w:r>
          </w:p>
        </w:tc>
        <w:tc>
          <w:tcPr>
            <w:tcW w:w="1098"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通过免费赠药项目提高贫困精神患者服药率，降低社会危害</w:t>
            </w:r>
          </w:p>
        </w:tc>
        <w:tc>
          <w:tcPr>
            <w:tcW w:w="73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color w:val="auto"/>
              </w:rPr>
            </w:pPr>
            <w:r>
              <w:rPr>
                <w:rFonts w:hint="eastAsia" w:ascii="宋体" w:hAnsi="宋体" w:eastAsia="宋体" w:cs="宋体"/>
                <w:color w:val="auto"/>
                <w:sz w:val="18"/>
                <w:szCs w:val="18"/>
                <w:lang w:val="en-US" w:eastAsia="zh-CN"/>
              </w:rPr>
              <w:t>有所提升</w:t>
            </w:r>
          </w:p>
        </w:tc>
        <w:tc>
          <w:tcPr>
            <w:tcW w:w="829"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color w:val="auto"/>
              </w:rPr>
            </w:pPr>
            <w:r>
              <w:rPr>
                <w:rFonts w:hint="eastAsia" w:ascii="宋体" w:hAnsi="宋体" w:eastAsia="宋体" w:cs="宋体"/>
                <w:color w:val="auto"/>
                <w:sz w:val="18"/>
                <w:szCs w:val="18"/>
                <w:lang w:val="en-US" w:eastAsia="zh-CN"/>
              </w:rPr>
              <w:t>有所提升</w:t>
            </w:r>
          </w:p>
        </w:tc>
        <w:tc>
          <w:tcPr>
            <w:tcW w:w="551"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color w:val="auto"/>
              </w:rPr>
            </w:pPr>
            <w:r>
              <w:rPr>
                <w:rFonts w:hint="eastAsia" w:ascii="宋体" w:hAnsi="宋体" w:eastAsia="宋体" w:cs="宋体"/>
                <w:color w:val="auto"/>
                <w:sz w:val="18"/>
                <w:szCs w:val="18"/>
                <w:lang w:val="en-US" w:eastAsia="zh-CN"/>
              </w:rPr>
              <w:t>15</w:t>
            </w:r>
            <w:r>
              <w:rPr>
                <w:rFonts w:hint="eastAsia" w:ascii="宋体" w:hAnsi="宋体" w:eastAsia="宋体" w:cs="宋体"/>
                <w:color w:val="auto"/>
                <w:sz w:val="18"/>
                <w:szCs w:val="18"/>
              </w:rPr>
              <w:t>　</w:t>
            </w:r>
          </w:p>
        </w:tc>
        <w:tc>
          <w:tcPr>
            <w:tcW w:w="673"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color w:val="auto"/>
              </w:rPr>
            </w:pPr>
            <w:r>
              <w:rPr>
                <w:rFonts w:hint="eastAsia" w:ascii="宋体" w:hAnsi="宋体" w:eastAsia="宋体" w:cs="宋体"/>
                <w:color w:val="auto"/>
                <w:sz w:val="18"/>
                <w:szCs w:val="18"/>
                <w:lang w:val="en-US" w:eastAsia="zh-CN"/>
              </w:rPr>
              <w:t>15</w:t>
            </w:r>
            <w:r>
              <w:rPr>
                <w:rFonts w:hint="eastAsia" w:ascii="宋体" w:hAnsi="宋体" w:eastAsia="宋体" w:cs="宋体"/>
                <w:color w:val="auto"/>
                <w:sz w:val="18"/>
                <w:szCs w:val="18"/>
              </w:rPr>
              <w:t>　</w:t>
            </w:r>
          </w:p>
        </w:tc>
        <w:tc>
          <w:tcPr>
            <w:tcW w:w="1637"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06" w:type="dxa"/>
          <w:jc w:val="center"/>
        </w:trPr>
        <w:tc>
          <w:tcPr>
            <w:tcW w:w="846"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2"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满意度 指</w:t>
            </w:r>
            <w:r>
              <w:rPr>
                <w:rFonts w:hint="eastAsia" w:ascii="宋体" w:hAnsi="宋体" w:eastAsia="宋体" w:cs="宋体"/>
                <w:color w:val="auto"/>
                <w:sz w:val="18"/>
                <w:szCs w:val="18"/>
                <w:lang w:val="en-US"/>
              </w:rPr>
              <w:t xml:space="preserve">  </w:t>
            </w:r>
            <w:r>
              <w:rPr>
                <w:rFonts w:hint="eastAsia" w:ascii="宋体" w:hAnsi="宋体" w:eastAsia="宋体" w:cs="宋体"/>
                <w:color w:val="auto"/>
                <w:sz w:val="18"/>
                <w:szCs w:val="18"/>
              </w:rPr>
              <w:t>标（</w:t>
            </w:r>
            <w:r>
              <w:rPr>
                <w:rFonts w:hint="eastAsia" w:ascii="宋体" w:hAnsi="宋体" w:eastAsia="宋体" w:cs="宋体"/>
                <w:color w:val="auto"/>
                <w:sz w:val="18"/>
                <w:szCs w:val="18"/>
                <w:lang w:val="en-US"/>
              </w:rPr>
              <w:t>10</w:t>
            </w:r>
            <w:r>
              <w:rPr>
                <w:rFonts w:hint="eastAsia" w:ascii="宋体" w:hAnsi="宋体" w:eastAsia="宋体" w:cs="宋体"/>
                <w:color w:val="auto"/>
                <w:sz w:val="18"/>
                <w:szCs w:val="18"/>
              </w:rPr>
              <w:t>）</w:t>
            </w:r>
          </w:p>
        </w:tc>
        <w:tc>
          <w:tcPr>
            <w:tcW w:w="1463"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服务对象 满意度指标</w:t>
            </w:r>
          </w:p>
        </w:tc>
        <w:tc>
          <w:tcPr>
            <w:tcW w:w="1098"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患者满意度</w:t>
            </w:r>
          </w:p>
        </w:tc>
        <w:tc>
          <w:tcPr>
            <w:tcW w:w="73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95%</w:t>
            </w:r>
          </w:p>
        </w:tc>
        <w:tc>
          <w:tcPr>
            <w:tcW w:w="829"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95%</w:t>
            </w:r>
          </w:p>
        </w:tc>
        <w:tc>
          <w:tcPr>
            <w:tcW w:w="551"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10</w:t>
            </w:r>
          </w:p>
        </w:tc>
        <w:tc>
          <w:tcPr>
            <w:tcW w:w="673"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eastAsia="zh-CN"/>
              </w:rPr>
              <w:t>10</w:t>
            </w:r>
            <w:r>
              <w:rPr>
                <w:rFonts w:hint="eastAsia" w:ascii="宋体" w:hAnsi="宋体" w:eastAsia="宋体" w:cs="宋体"/>
                <w:color w:val="auto"/>
                <w:sz w:val="18"/>
                <w:szCs w:val="18"/>
              </w:rPr>
              <w:t>　</w:t>
            </w:r>
          </w:p>
        </w:tc>
        <w:tc>
          <w:tcPr>
            <w:tcW w:w="1637"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06" w:type="dxa"/>
          <w:jc w:val="center"/>
        </w:trPr>
        <w:tc>
          <w:tcPr>
            <w:tcW w:w="5904" w:type="dxa"/>
            <w:gridSpan w:val="19"/>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总</w:t>
            </w:r>
            <w:r>
              <w:rPr>
                <w:rFonts w:hint="eastAsia" w:ascii="宋体" w:hAnsi="宋体" w:eastAsia="宋体" w:cs="宋体"/>
                <w:color w:val="auto"/>
                <w:sz w:val="18"/>
                <w:szCs w:val="18"/>
                <w:lang w:val="en-US"/>
              </w:rPr>
              <w:t xml:space="preserve">    </w:t>
            </w:r>
            <w:r>
              <w:rPr>
                <w:rFonts w:hint="eastAsia" w:ascii="宋体" w:hAnsi="宋体" w:eastAsia="宋体" w:cs="宋体"/>
                <w:color w:val="auto"/>
                <w:sz w:val="18"/>
                <w:szCs w:val="18"/>
              </w:rPr>
              <w:t>分</w:t>
            </w:r>
          </w:p>
        </w:tc>
        <w:tc>
          <w:tcPr>
            <w:tcW w:w="551"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lang w:val="en-US"/>
              </w:rPr>
              <w:t>100</w:t>
            </w:r>
          </w:p>
        </w:tc>
        <w:tc>
          <w:tcPr>
            <w:tcW w:w="673"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93.5</w:t>
            </w:r>
          </w:p>
        </w:tc>
        <w:tc>
          <w:tcPr>
            <w:tcW w:w="1637"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06" w:type="dxa"/>
          <w:trHeight w:val="0" w:hRule="atLeast"/>
          <w:jc w:val="center"/>
        </w:trPr>
        <w:tc>
          <w:tcPr>
            <w:tcW w:w="846" w:type="dxa"/>
            <w:gridSpan w:val="2"/>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572" w:type="dxa"/>
            <w:gridSpan w:val="2"/>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360" w:type="dxa"/>
            <w:gridSpan w:val="2"/>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1223" w:type="dxa"/>
            <w:gridSpan w:val="2"/>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240" w:type="dxa"/>
            <w:gridSpan w:val="2"/>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844" w:type="dxa"/>
            <w:gridSpan w:val="2"/>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254" w:type="dxa"/>
            <w:gridSpan w:val="2"/>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736" w:type="dxa"/>
            <w:gridSpan w:val="2"/>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829" w:type="dxa"/>
            <w:gridSpan w:val="3"/>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162" w:type="dxa"/>
            <w:gridSpan w:val="2"/>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389" w:type="dxa"/>
            <w:gridSpan w:val="2"/>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379" w:type="dxa"/>
            <w:gridSpan w:val="2"/>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294" w:type="dxa"/>
            <w:gridSpan w:val="2"/>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777" w:type="dxa"/>
            <w:gridSpan w:val="2"/>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860" w:type="dxa"/>
            <w:gridSpan w:val="2"/>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113" w:type="dxa"/>
          <w:jc w:val="center"/>
        </w:trPr>
        <w:tc>
          <w:tcPr>
            <w:tcW w:w="8758" w:type="dxa"/>
            <w:gridSpan w:val="31"/>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center"/>
              <w:rPr>
                <w:color w:val="auto"/>
              </w:rPr>
            </w:pPr>
            <w:r>
              <w:rPr>
                <w:rFonts w:hint="eastAsia" w:ascii="方正小标宋简体" w:hAnsi="方正小标宋简体" w:eastAsia="方正小标宋简体" w:cs="方正小标宋简体"/>
                <w:color w:val="auto"/>
                <w:spacing w:val="20"/>
                <w:sz w:val="44"/>
                <w:szCs w:val="44"/>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113" w:type="dxa"/>
          <w:jc w:val="center"/>
        </w:trPr>
        <w:tc>
          <w:tcPr>
            <w:tcW w:w="8758" w:type="dxa"/>
            <w:gridSpan w:val="31"/>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center"/>
              <w:rPr>
                <w:color w:val="auto"/>
              </w:rPr>
            </w:pPr>
            <w:r>
              <w:rPr>
                <w:rFonts w:ascii="方正楷体简体" w:hAnsi="方正楷体简体" w:eastAsia="方正楷体简体" w:cs="方正楷体简体"/>
                <w:color w:val="auto"/>
                <w:sz w:val="32"/>
                <w:szCs w:val="32"/>
              </w:rPr>
              <w:t>（</w:t>
            </w:r>
            <w:r>
              <w:rPr>
                <w:rFonts w:hint="eastAsia" w:ascii="方正楷体简体" w:hAnsi="方正楷体简体" w:eastAsia="方正楷体简体" w:cs="方正楷体简体"/>
                <w:color w:val="auto"/>
                <w:sz w:val="32"/>
                <w:szCs w:val="32"/>
                <w:lang w:val="en-US" w:eastAsia="zh-CN"/>
              </w:rPr>
              <w:t>2022</w:t>
            </w:r>
            <w:r>
              <w:rPr>
                <w:rFonts w:hint="default" w:ascii="方正楷体简体" w:hAnsi="方正楷体简体" w:eastAsia="方正楷体简体" w:cs="方正楷体简体"/>
                <w:color w:val="auto"/>
                <w:sz w:val="32"/>
                <w:szCs w:val="32"/>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113" w:type="dxa"/>
          <w:jc w:val="center"/>
        </w:trPr>
        <w:tc>
          <w:tcPr>
            <w:tcW w:w="1418"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default" w:ascii="方正楷体简体" w:hAnsi="方正楷体简体" w:eastAsia="方正楷体简体" w:cs="方正楷体简体"/>
                <w:color w:val="auto"/>
                <w:sz w:val="18"/>
                <w:szCs w:val="18"/>
              </w:rPr>
              <w:t>项目名称</w:t>
            </w:r>
          </w:p>
        </w:tc>
        <w:tc>
          <w:tcPr>
            <w:tcW w:w="7340" w:type="dxa"/>
            <w:gridSpan w:val="27"/>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包联（小区）疫情防控经费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113" w:type="dxa"/>
          <w:jc w:val="center"/>
        </w:trPr>
        <w:tc>
          <w:tcPr>
            <w:tcW w:w="1418"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主管部门及代码</w:t>
            </w:r>
          </w:p>
        </w:tc>
        <w:tc>
          <w:tcPr>
            <w:tcW w:w="3677" w:type="dxa"/>
            <w:gridSpan w:val="1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内蒙古自治区锡林郭勒盟民政局</w:t>
            </w:r>
          </w:p>
        </w:tc>
        <w:tc>
          <w:tcPr>
            <w:tcW w:w="979"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实施单位</w:t>
            </w:r>
          </w:p>
        </w:tc>
        <w:tc>
          <w:tcPr>
            <w:tcW w:w="2684" w:type="dxa"/>
            <w:gridSpan w:val="10"/>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锡林郭勒盟安神医院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113" w:type="dxa"/>
          <w:jc w:val="center"/>
        </w:trPr>
        <w:tc>
          <w:tcPr>
            <w:tcW w:w="1418" w:type="dxa"/>
            <w:gridSpan w:val="4"/>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项目资金 （万元）</w:t>
            </w:r>
          </w:p>
        </w:tc>
        <w:tc>
          <w:tcPr>
            <w:tcW w:w="1583"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c>
          <w:tcPr>
            <w:tcW w:w="1084"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年初预算数</w:t>
            </w:r>
          </w:p>
        </w:tc>
        <w:tc>
          <w:tcPr>
            <w:tcW w:w="1010" w:type="dxa"/>
            <w:gridSpan w:val="5"/>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全年预算数</w:t>
            </w:r>
          </w:p>
        </w:tc>
        <w:tc>
          <w:tcPr>
            <w:tcW w:w="979"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全年执行数</w:t>
            </w:r>
          </w:p>
        </w:tc>
        <w:tc>
          <w:tcPr>
            <w:tcW w:w="759"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分值</w:t>
            </w:r>
          </w:p>
        </w:tc>
        <w:tc>
          <w:tcPr>
            <w:tcW w:w="1070"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执行率</w:t>
            </w:r>
          </w:p>
        </w:tc>
        <w:tc>
          <w:tcPr>
            <w:tcW w:w="85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113" w:type="dxa"/>
          <w:jc w:val="center"/>
        </w:trPr>
        <w:tc>
          <w:tcPr>
            <w:tcW w:w="1418" w:type="dxa"/>
            <w:gridSpan w:val="4"/>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583"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年度资金总额</w:t>
            </w:r>
          </w:p>
        </w:tc>
        <w:tc>
          <w:tcPr>
            <w:tcW w:w="1084"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12.1</w:t>
            </w:r>
          </w:p>
        </w:tc>
        <w:tc>
          <w:tcPr>
            <w:tcW w:w="904"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12.1</w:t>
            </w:r>
          </w:p>
        </w:tc>
        <w:tc>
          <w:tcPr>
            <w:tcW w:w="1085" w:type="dxa"/>
            <w:gridSpan w:val="5"/>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4.93　</w:t>
            </w:r>
          </w:p>
        </w:tc>
        <w:tc>
          <w:tcPr>
            <w:tcW w:w="759"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w:t>
            </w:r>
          </w:p>
        </w:tc>
        <w:tc>
          <w:tcPr>
            <w:tcW w:w="1070"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40.74%</w:t>
            </w:r>
          </w:p>
        </w:tc>
        <w:tc>
          <w:tcPr>
            <w:tcW w:w="85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113" w:type="dxa"/>
          <w:jc w:val="center"/>
        </w:trPr>
        <w:tc>
          <w:tcPr>
            <w:tcW w:w="1418" w:type="dxa"/>
            <w:gridSpan w:val="4"/>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583"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其中：财政拨款</w:t>
            </w:r>
          </w:p>
        </w:tc>
        <w:tc>
          <w:tcPr>
            <w:tcW w:w="1084"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12.1</w:t>
            </w:r>
          </w:p>
        </w:tc>
        <w:tc>
          <w:tcPr>
            <w:tcW w:w="904"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12.1</w:t>
            </w:r>
          </w:p>
        </w:tc>
        <w:tc>
          <w:tcPr>
            <w:tcW w:w="1085" w:type="dxa"/>
            <w:gridSpan w:val="5"/>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4.93</w:t>
            </w:r>
          </w:p>
        </w:tc>
        <w:tc>
          <w:tcPr>
            <w:tcW w:w="759"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p>
        </w:tc>
        <w:tc>
          <w:tcPr>
            <w:tcW w:w="1070"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40.74%</w:t>
            </w:r>
          </w:p>
        </w:tc>
        <w:tc>
          <w:tcPr>
            <w:tcW w:w="85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color w:val="auto"/>
                <w:sz w:val="18"/>
                <w:szCs w:val="18"/>
                <w:lang w:val="en-US" w:eastAsia="zh-CN"/>
              </w:rPr>
            </w:pPr>
            <w:r>
              <w:rPr>
                <w:rFonts w:hint="default" w:ascii="宋体" w:hAnsi="宋体" w:eastAsia="宋体" w:cs="宋体"/>
                <w:color w:val="auto"/>
                <w:sz w:val="18"/>
                <w:szCs w:val="18"/>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113" w:type="dxa"/>
          <w:jc w:val="center"/>
        </w:trPr>
        <w:tc>
          <w:tcPr>
            <w:tcW w:w="1418" w:type="dxa"/>
            <w:gridSpan w:val="4"/>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583"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rPr>
              <w:t>  </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其他资金</w:t>
            </w:r>
          </w:p>
        </w:tc>
        <w:tc>
          <w:tcPr>
            <w:tcW w:w="1084"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c>
          <w:tcPr>
            <w:tcW w:w="904"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c>
          <w:tcPr>
            <w:tcW w:w="1085" w:type="dxa"/>
            <w:gridSpan w:val="5"/>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c>
          <w:tcPr>
            <w:tcW w:w="759"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default" w:ascii="Courier New" w:hAnsi="Courier New" w:cs="Courier New"/>
                <w:color w:val="auto"/>
                <w:sz w:val="18"/>
                <w:szCs w:val="18"/>
                <w:lang w:val="en-US"/>
              </w:rPr>
              <w:t>-</w:t>
            </w:r>
          </w:p>
        </w:tc>
        <w:tc>
          <w:tcPr>
            <w:tcW w:w="1070"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c>
          <w:tcPr>
            <w:tcW w:w="85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default" w:ascii="Courier New" w:hAnsi="Courier New" w:cs="Courier New"/>
                <w:color w:val="auto"/>
                <w:sz w:val="18"/>
                <w:szCs w:val="18"/>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113" w:type="dxa"/>
          <w:jc w:val="center"/>
        </w:trPr>
        <w:tc>
          <w:tcPr>
            <w:tcW w:w="846" w:type="dxa"/>
            <w:gridSpan w:val="2"/>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lang w:val="en-US"/>
              </w:rPr>
              <w:t>年度总体目标</w:t>
            </w:r>
          </w:p>
        </w:tc>
        <w:tc>
          <w:tcPr>
            <w:tcW w:w="4143" w:type="dxa"/>
            <w:gridSpan w:val="1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预期目标</w:t>
            </w:r>
          </w:p>
        </w:tc>
        <w:tc>
          <w:tcPr>
            <w:tcW w:w="3769" w:type="dxa"/>
            <w:gridSpan w:val="15"/>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113" w:type="dxa"/>
          <w:jc w:val="center"/>
        </w:trPr>
        <w:tc>
          <w:tcPr>
            <w:tcW w:w="846"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4143" w:type="dxa"/>
            <w:gridSpan w:val="1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通过项目实施，进一步加强疫情防控措施，切实保障人民群众及医护人员生命安全和身体健康</w:t>
            </w:r>
          </w:p>
        </w:tc>
        <w:tc>
          <w:tcPr>
            <w:tcW w:w="3769" w:type="dxa"/>
            <w:gridSpan w:val="15"/>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项目主要用于支付包联人员包联期间住宿费，切实保障了包联人员的住宿问题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113" w:type="dxa"/>
          <w:jc w:val="center"/>
        </w:trPr>
        <w:tc>
          <w:tcPr>
            <w:tcW w:w="846" w:type="dxa"/>
            <w:gridSpan w:val="2"/>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绩</w:t>
            </w:r>
            <w:r>
              <w:rPr>
                <w:rFonts w:hint="eastAsia" w:ascii="宋体" w:hAnsi="宋体" w:eastAsia="宋体" w:cs="宋体"/>
                <w:color w:val="auto"/>
                <w:sz w:val="18"/>
                <w:szCs w:val="18"/>
                <w:lang w:val="en-US"/>
              </w:rPr>
              <w:t xml:space="preserve">  </w:t>
            </w:r>
            <w:r>
              <w:rPr>
                <w:rFonts w:hint="eastAsia" w:ascii="宋体" w:hAnsi="宋体" w:eastAsia="宋体" w:cs="宋体"/>
                <w:color w:val="auto"/>
                <w:sz w:val="18"/>
                <w:szCs w:val="18"/>
              </w:rPr>
              <w:t>效</w:t>
            </w:r>
            <w:r>
              <w:rPr>
                <w:rFonts w:hint="eastAsia" w:ascii="宋体" w:hAnsi="宋体" w:eastAsia="宋体" w:cs="宋体"/>
                <w:color w:val="auto"/>
                <w:sz w:val="18"/>
                <w:szCs w:val="18"/>
                <w:lang w:val="en-US"/>
              </w:rPr>
              <w:t xml:space="preserve"> </w:t>
            </w:r>
            <w:r>
              <w:rPr>
                <w:rFonts w:hint="eastAsia" w:ascii="宋体" w:hAnsi="宋体" w:eastAsia="宋体" w:cs="宋体"/>
                <w:color w:val="auto"/>
                <w:sz w:val="18"/>
                <w:szCs w:val="18"/>
              </w:rPr>
              <w:t>指</w:t>
            </w:r>
            <w:r>
              <w:rPr>
                <w:rFonts w:hint="eastAsia" w:ascii="宋体" w:hAnsi="宋体" w:eastAsia="宋体" w:cs="宋体"/>
                <w:color w:val="auto"/>
                <w:sz w:val="18"/>
                <w:szCs w:val="18"/>
                <w:lang w:val="en-US"/>
              </w:rPr>
              <w:t xml:space="preserve">  </w:t>
            </w:r>
            <w:r>
              <w:rPr>
                <w:rFonts w:hint="eastAsia" w:ascii="宋体" w:hAnsi="宋体" w:eastAsia="宋体" w:cs="宋体"/>
                <w:color w:val="auto"/>
                <w:sz w:val="18"/>
                <w:szCs w:val="18"/>
              </w:rPr>
              <w:t>标（</w:t>
            </w:r>
            <w:r>
              <w:rPr>
                <w:rFonts w:hint="eastAsia" w:ascii="宋体" w:hAnsi="宋体" w:eastAsia="宋体" w:cs="宋体"/>
                <w:color w:val="auto"/>
                <w:sz w:val="18"/>
                <w:szCs w:val="18"/>
                <w:lang w:val="en-US"/>
              </w:rPr>
              <w:t>90</w:t>
            </w:r>
            <w:r>
              <w:rPr>
                <w:rFonts w:hint="eastAsia" w:ascii="宋体" w:hAnsi="宋体" w:eastAsia="宋体" w:cs="宋体"/>
                <w:color w:val="auto"/>
                <w:sz w:val="18"/>
                <w:szCs w:val="18"/>
              </w:rPr>
              <w:t>）</w:t>
            </w:r>
          </w:p>
        </w:tc>
        <w:tc>
          <w:tcPr>
            <w:tcW w:w="931"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一级指标</w:t>
            </w:r>
          </w:p>
        </w:tc>
        <w:tc>
          <w:tcPr>
            <w:tcW w:w="1464"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二级指标</w:t>
            </w:r>
          </w:p>
        </w:tc>
        <w:tc>
          <w:tcPr>
            <w:tcW w:w="1098"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三级指标</w:t>
            </w:r>
          </w:p>
        </w:tc>
        <w:tc>
          <w:tcPr>
            <w:tcW w:w="65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年度指标值</w:t>
            </w:r>
          </w:p>
        </w:tc>
        <w:tc>
          <w:tcPr>
            <w:tcW w:w="88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实际完成值</w:t>
            </w:r>
          </w:p>
        </w:tc>
        <w:tc>
          <w:tcPr>
            <w:tcW w:w="591"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分值</w:t>
            </w:r>
          </w:p>
        </w:tc>
        <w:tc>
          <w:tcPr>
            <w:tcW w:w="714"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得分</w:t>
            </w:r>
          </w:p>
        </w:tc>
        <w:tc>
          <w:tcPr>
            <w:tcW w:w="1579"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113" w:type="dxa"/>
          <w:jc w:val="center"/>
        </w:trPr>
        <w:tc>
          <w:tcPr>
            <w:tcW w:w="846"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1" w:type="dxa"/>
            <w:gridSpan w:val="4"/>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产出指标（</w:t>
            </w:r>
            <w:r>
              <w:rPr>
                <w:rFonts w:hint="eastAsia" w:ascii="宋体" w:hAnsi="宋体" w:eastAsia="宋体" w:cs="宋体"/>
                <w:color w:val="auto"/>
                <w:sz w:val="18"/>
                <w:szCs w:val="18"/>
                <w:lang w:val="en-US"/>
              </w:rPr>
              <w:t>50</w:t>
            </w:r>
            <w:r>
              <w:rPr>
                <w:rFonts w:hint="eastAsia" w:ascii="宋体" w:hAnsi="宋体" w:eastAsia="宋体" w:cs="宋体"/>
                <w:color w:val="auto"/>
                <w:sz w:val="18"/>
                <w:szCs w:val="18"/>
              </w:rPr>
              <w:t>）</w:t>
            </w:r>
          </w:p>
        </w:tc>
        <w:tc>
          <w:tcPr>
            <w:tcW w:w="1464" w:type="dxa"/>
            <w:gridSpan w:val="4"/>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数量指标</w:t>
            </w:r>
          </w:p>
        </w:tc>
        <w:tc>
          <w:tcPr>
            <w:tcW w:w="1098"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疫情防控包联人数</w:t>
            </w:r>
          </w:p>
        </w:tc>
        <w:tc>
          <w:tcPr>
            <w:tcW w:w="65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42人</w:t>
            </w:r>
          </w:p>
        </w:tc>
        <w:tc>
          <w:tcPr>
            <w:tcW w:w="885"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42人</w:t>
            </w:r>
          </w:p>
        </w:tc>
        <w:tc>
          <w:tcPr>
            <w:tcW w:w="591"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7.5</w:t>
            </w:r>
          </w:p>
        </w:tc>
        <w:tc>
          <w:tcPr>
            <w:tcW w:w="714"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7.5</w:t>
            </w:r>
          </w:p>
        </w:tc>
        <w:tc>
          <w:tcPr>
            <w:tcW w:w="1579"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113" w:type="dxa"/>
          <w:jc w:val="center"/>
        </w:trPr>
        <w:tc>
          <w:tcPr>
            <w:tcW w:w="846"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1" w:type="dxa"/>
            <w:gridSpan w:val="4"/>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464" w:type="dxa"/>
            <w:gridSpan w:val="4"/>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098"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疫情期间租住房间</w:t>
            </w:r>
          </w:p>
        </w:tc>
        <w:tc>
          <w:tcPr>
            <w:tcW w:w="65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15</w:t>
            </w:r>
          </w:p>
        </w:tc>
        <w:tc>
          <w:tcPr>
            <w:tcW w:w="885"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eastAsia="zh-CN"/>
              </w:rPr>
              <w:t>15</w:t>
            </w:r>
            <w:r>
              <w:rPr>
                <w:rFonts w:hint="eastAsia" w:ascii="宋体" w:hAnsi="宋体" w:eastAsia="宋体" w:cs="宋体"/>
                <w:color w:val="auto"/>
                <w:sz w:val="18"/>
                <w:szCs w:val="18"/>
                <w:lang w:val="en-US"/>
              </w:rPr>
              <w:t> </w:t>
            </w:r>
          </w:p>
        </w:tc>
        <w:tc>
          <w:tcPr>
            <w:tcW w:w="591"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eastAsia="宋体"/>
                <w:color w:val="auto"/>
                <w:lang w:val="en-US" w:eastAsia="zh-CN"/>
              </w:rPr>
            </w:pPr>
            <w:r>
              <w:rPr>
                <w:rFonts w:hint="eastAsia" w:ascii="宋体" w:hAnsi="宋体" w:eastAsia="宋体" w:cs="宋体"/>
                <w:color w:val="auto"/>
                <w:sz w:val="18"/>
                <w:szCs w:val="18"/>
                <w:lang w:val="en-US" w:eastAsia="zh-CN"/>
              </w:rPr>
              <w:t>7.5</w:t>
            </w:r>
            <w:r>
              <w:rPr>
                <w:rFonts w:hint="eastAsia" w:ascii="宋体" w:hAnsi="宋体" w:eastAsia="宋体" w:cs="宋体"/>
                <w:color w:val="auto"/>
                <w:sz w:val="18"/>
                <w:szCs w:val="18"/>
                <w:lang w:val="en-US"/>
              </w:rPr>
              <w:t> </w:t>
            </w:r>
          </w:p>
        </w:tc>
        <w:tc>
          <w:tcPr>
            <w:tcW w:w="714"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right="0"/>
              <w:rPr>
                <w:rFonts w:hint="default" w:eastAsia="宋体"/>
                <w:color w:val="auto"/>
                <w:lang w:val="en-US" w:eastAsia="zh-CN"/>
              </w:rPr>
            </w:pPr>
            <w:r>
              <w:rPr>
                <w:rFonts w:hint="eastAsia" w:ascii="宋体" w:hAnsi="宋体" w:eastAsia="宋体" w:cs="宋体"/>
                <w:color w:val="auto"/>
                <w:sz w:val="18"/>
                <w:szCs w:val="18"/>
                <w:lang w:val="en-US" w:eastAsia="zh-CN"/>
              </w:rPr>
              <w:t>7.5</w:t>
            </w:r>
          </w:p>
        </w:tc>
        <w:tc>
          <w:tcPr>
            <w:tcW w:w="1579"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113" w:type="dxa"/>
          <w:jc w:val="center"/>
        </w:trPr>
        <w:tc>
          <w:tcPr>
            <w:tcW w:w="846"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1" w:type="dxa"/>
            <w:gridSpan w:val="4"/>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464" w:type="dxa"/>
            <w:gridSpan w:val="4"/>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质量指标</w:t>
            </w:r>
          </w:p>
        </w:tc>
        <w:tc>
          <w:tcPr>
            <w:tcW w:w="1098"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包联期间工作完成质量</w:t>
            </w:r>
          </w:p>
        </w:tc>
        <w:tc>
          <w:tcPr>
            <w:tcW w:w="65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100%</w:t>
            </w:r>
          </w:p>
        </w:tc>
        <w:tc>
          <w:tcPr>
            <w:tcW w:w="885"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100%</w:t>
            </w:r>
          </w:p>
        </w:tc>
        <w:tc>
          <w:tcPr>
            <w:tcW w:w="591"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7.5</w:t>
            </w:r>
          </w:p>
        </w:tc>
        <w:tc>
          <w:tcPr>
            <w:tcW w:w="714"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eastAsia="zh-CN"/>
              </w:rPr>
              <w:t>7.5</w:t>
            </w:r>
            <w:r>
              <w:rPr>
                <w:rFonts w:hint="eastAsia" w:ascii="宋体" w:hAnsi="宋体" w:eastAsia="宋体" w:cs="宋体"/>
                <w:color w:val="auto"/>
                <w:sz w:val="18"/>
                <w:szCs w:val="18"/>
              </w:rPr>
              <w:t>　</w:t>
            </w:r>
          </w:p>
        </w:tc>
        <w:tc>
          <w:tcPr>
            <w:tcW w:w="1579"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113" w:type="dxa"/>
          <w:jc w:val="center"/>
        </w:trPr>
        <w:tc>
          <w:tcPr>
            <w:tcW w:w="846"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1" w:type="dxa"/>
            <w:gridSpan w:val="4"/>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464" w:type="dxa"/>
            <w:gridSpan w:val="4"/>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098"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租住房间质量合格率</w:t>
            </w:r>
          </w:p>
        </w:tc>
        <w:tc>
          <w:tcPr>
            <w:tcW w:w="65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100%</w:t>
            </w:r>
          </w:p>
        </w:tc>
        <w:tc>
          <w:tcPr>
            <w:tcW w:w="885"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100%</w:t>
            </w:r>
          </w:p>
        </w:tc>
        <w:tc>
          <w:tcPr>
            <w:tcW w:w="591"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7.5</w:t>
            </w:r>
          </w:p>
        </w:tc>
        <w:tc>
          <w:tcPr>
            <w:tcW w:w="714"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eastAsia="zh-CN"/>
              </w:rPr>
              <w:t>7.5</w:t>
            </w:r>
          </w:p>
        </w:tc>
        <w:tc>
          <w:tcPr>
            <w:tcW w:w="1579"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113" w:type="dxa"/>
          <w:jc w:val="center"/>
        </w:trPr>
        <w:tc>
          <w:tcPr>
            <w:tcW w:w="846"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1" w:type="dxa"/>
            <w:gridSpan w:val="4"/>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464" w:type="dxa"/>
            <w:gridSpan w:val="4"/>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时效指标</w:t>
            </w:r>
          </w:p>
        </w:tc>
        <w:tc>
          <w:tcPr>
            <w:tcW w:w="1098"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包联时限</w:t>
            </w:r>
          </w:p>
        </w:tc>
        <w:tc>
          <w:tcPr>
            <w:tcW w:w="65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疫情防控期间</w:t>
            </w:r>
          </w:p>
        </w:tc>
        <w:tc>
          <w:tcPr>
            <w:tcW w:w="885"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疫情防控期间</w:t>
            </w:r>
          </w:p>
        </w:tc>
        <w:tc>
          <w:tcPr>
            <w:tcW w:w="591"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5</w:t>
            </w:r>
          </w:p>
        </w:tc>
        <w:tc>
          <w:tcPr>
            <w:tcW w:w="714"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5</w:t>
            </w:r>
          </w:p>
        </w:tc>
        <w:tc>
          <w:tcPr>
            <w:tcW w:w="1579"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113" w:type="dxa"/>
          <w:jc w:val="center"/>
        </w:trPr>
        <w:tc>
          <w:tcPr>
            <w:tcW w:w="846"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1" w:type="dxa"/>
            <w:gridSpan w:val="4"/>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464" w:type="dxa"/>
            <w:gridSpan w:val="4"/>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098"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资金支付期限</w:t>
            </w:r>
          </w:p>
        </w:tc>
        <w:tc>
          <w:tcPr>
            <w:tcW w:w="65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1年</w:t>
            </w:r>
          </w:p>
        </w:tc>
        <w:tc>
          <w:tcPr>
            <w:tcW w:w="885"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0.5年</w:t>
            </w:r>
          </w:p>
        </w:tc>
        <w:tc>
          <w:tcPr>
            <w:tcW w:w="591"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5</w:t>
            </w:r>
          </w:p>
        </w:tc>
        <w:tc>
          <w:tcPr>
            <w:tcW w:w="714"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color w:val="auto"/>
                <w:lang w:val="en-US"/>
              </w:rPr>
            </w:pPr>
            <w:r>
              <w:rPr>
                <w:rFonts w:hint="eastAsia" w:ascii="宋体" w:hAnsi="宋体" w:eastAsia="宋体" w:cs="宋体"/>
                <w:color w:val="auto"/>
                <w:sz w:val="18"/>
                <w:szCs w:val="18"/>
                <w:lang w:val="en-US" w:eastAsia="zh-CN"/>
              </w:rPr>
              <w:t>2.5</w:t>
            </w:r>
          </w:p>
        </w:tc>
        <w:tc>
          <w:tcPr>
            <w:tcW w:w="1579"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因疫情封闭原因，资金支付缓慢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113" w:type="dxa"/>
          <w:jc w:val="center"/>
        </w:trPr>
        <w:tc>
          <w:tcPr>
            <w:tcW w:w="846"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1" w:type="dxa"/>
            <w:gridSpan w:val="4"/>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464" w:type="dxa"/>
            <w:gridSpan w:val="4"/>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成本指标</w:t>
            </w:r>
          </w:p>
        </w:tc>
        <w:tc>
          <w:tcPr>
            <w:tcW w:w="1098"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疫情包联经费</w:t>
            </w:r>
          </w:p>
        </w:tc>
        <w:tc>
          <w:tcPr>
            <w:tcW w:w="65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120960</w:t>
            </w:r>
          </w:p>
        </w:tc>
        <w:tc>
          <w:tcPr>
            <w:tcW w:w="885"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eastAsia="zh-CN"/>
              </w:rPr>
              <w:t>49300</w:t>
            </w:r>
            <w:r>
              <w:rPr>
                <w:rFonts w:hint="eastAsia" w:ascii="宋体" w:hAnsi="宋体" w:eastAsia="宋体" w:cs="宋体"/>
                <w:color w:val="auto"/>
                <w:sz w:val="18"/>
                <w:szCs w:val="18"/>
              </w:rPr>
              <w:t>　</w:t>
            </w:r>
          </w:p>
        </w:tc>
        <w:tc>
          <w:tcPr>
            <w:tcW w:w="591"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5</w:t>
            </w:r>
          </w:p>
        </w:tc>
        <w:tc>
          <w:tcPr>
            <w:tcW w:w="714"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color w:val="auto"/>
                <w:lang w:val="en-US"/>
              </w:rPr>
            </w:pPr>
            <w:r>
              <w:rPr>
                <w:rFonts w:hint="eastAsia" w:ascii="宋体" w:hAnsi="宋体" w:eastAsia="宋体" w:cs="宋体"/>
                <w:color w:val="auto"/>
                <w:sz w:val="18"/>
                <w:szCs w:val="18"/>
                <w:lang w:val="en-US" w:eastAsia="zh-CN"/>
              </w:rPr>
              <w:t>2.04</w:t>
            </w:r>
          </w:p>
        </w:tc>
        <w:tc>
          <w:tcPr>
            <w:tcW w:w="1579"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因疫情封闭原因，资金支付缓慢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113" w:type="dxa"/>
          <w:jc w:val="center"/>
        </w:trPr>
        <w:tc>
          <w:tcPr>
            <w:tcW w:w="846"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1" w:type="dxa"/>
            <w:gridSpan w:val="4"/>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464" w:type="dxa"/>
            <w:gridSpan w:val="4"/>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098"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疫情包联人均成本</w:t>
            </w:r>
          </w:p>
        </w:tc>
        <w:tc>
          <w:tcPr>
            <w:tcW w:w="65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2880</w:t>
            </w:r>
          </w:p>
        </w:tc>
        <w:tc>
          <w:tcPr>
            <w:tcW w:w="885"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2880</w:t>
            </w:r>
          </w:p>
        </w:tc>
        <w:tc>
          <w:tcPr>
            <w:tcW w:w="591"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5</w:t>
            </w:r>
          </w:p>
        </w:tc>
        <w:tc>
          <w:tcPr>
            <w:tcW w:w="714"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color w:val="auto"/>
                <w:lang w:val="en-US" w:eastAsia="zh-CN"/>
              </w:rPr>
              <w:t xml:space="preserve"> </w:t>
            </w:r>
            <w:r>
              <w:rPr>
                <w:rFonts w:hint="eastAsia" w:ascii="宋体" w:hAnsi="宋体" w:eastAsia="宋体" w:cs="宋体"/>
                <w:color w:val="auto"/>
                <w:sz w:val="18"/>
                <w:szCs w:val="18"/>
                <w:lang w:val="en-US" w:eastAsia="zh-CN"/>
              </w:rPr>
              <w:t>5</w:t>
            </w:r>
          </w:p>
        </w:tc>
        <w:tc>
          <w:tcPr>
            <w:tcW w:w="1579"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113" w:type="dxa"/>
          <w:jc w:val="center"/>
        </w:trPr>
        <w:tc>
          <w:tcPr>
            <w:tcW w:w="846"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1" w:type="dxa"/>
            <w:gridSpan w:val="4"/>
            <w:vMerge w:val="restart"/>
            <w:tcBorders>
              <w:top w:val="nil"/>
              <w:left w:val="nil"/>
              <w:right w:val="single" w:color="auto" w:sz="8" w:space="0"/>
            </w:tcBorders>
            <w:shd w:val="clear" w:color="auto" w:fill="auto"/>
            <w:tcMar>
              <w:left w:w="108" w:type="dxa"/>
              <w:right w:w="108" w:type="dxa"/>
            </w:tcMar>
            <w:vAlign w:val="center"/>
          </w:tcPr>
          <w:p>
            <w:pPr>
              <w:jc w:val="center"/>
              <w:rPr>
                <w:rFonts w:hint="eastAsia" w:ascii="宋体" w:eastAsia="宋体"/>
                <w:color w:val="auto"/>
                <w:sz w:val="24"/>
                <w:szCs w:val="24"/>
                <w:lang w:eastAsia="zh-CN"/>
              </w:rPr>
            </w:pPr>
            <w:r>
              <w:rPr>
                <w:rFonts w:hint="eastAsia" w:ascii="宋体" w:hAnsi="宋体" w:eastAsia="宋体" w:cs="宋体"/>
                <w:color w:val="auto"/>
                <w:sz w:val="18"/>
                <w:szCs w:val="18"/>
              </w:rPr>
              <w:t>效益指标（</w:t>
            </w:r>
            <w:r>
              <w:rPr>
                <w:rFonts w:hint="eastAsia" w:ascii="宋体" w:hAnsi="宋体" w:eastAsia="宋体" w:cs="宋体"/>
                <w:color w:val="auto"/>
                <w:sz w:val="18"/>
                <w:szCs w:val="18"/>
                <w:lang w:val="en-US"/>
              </w:rPr>
              <w:t>30</w:t>
            </w:r>
            <w:r>
              <w:rPr>
                <w:rFonts w:hint="eastAsia" w:ascii="宋体" w:hAnsi="宋体" w:eastAsia="宋体" w:cs="宋体"/>
                <w:color w:val="auto"/>
                <w:sz w:val="18"/>
                <w:szCs w:val="18"/>
                <w:lang w:val="en-US" w:eastAsia="zh-CN"/>
              </w:rPr>
              <w:t>）</w:t>
            </w:r>
          </w:p>
        </w:tc>
        <w:tc>
          <w:tcPr>
            <w:tcW w:w="1464"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社会效益指标</w:t>
            </w:r>
          </w:p>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lang w:val="en-US"/>
              </w:rPr>
              <w:t> </w:t>
            </w:r>
          </w:p>
        </w:tc>
        <w:tc>
          <w:tcPr>
            <w:tcW w:w="1098"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切实保障广大人民群众身体健康和生命安全</w:t>
            </w:r>
          </w:p>
        </w:tc>
        <w:tc>
          <w:tcPr>
            <w:tcW w:w="65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rFonts w:hint="default" w:eastAsia="宋体"/>
                <w:color w:val="auto"/>
                <w:lang w:val="en-US" w:eastAsia="zh-CN"/>
              </w:rPr>
            </w:pPr>
            <w:r>
              <w:rPr>
                <w:rFonts w:hint="eastAsia" w:ascii="宋体" w:hAnsi="宋体" w:eastAsia="宋体" w:cs="宋体"/>
                <w:color w:val="auto"/>
                <w:sz w:val="18"/>
                <w:szCs w:val="18"/>
                <w:lang w:val="en-US" w:eastAsia="zh-CN"/>
              </w:rPr>
              <w:t>效果明显</w:t>
            </w:r>
          </w:p>
        </w:tc>
        <w:tc>
          <w:tcPr>
            <w:tcW w:w="885"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rFonts w:hint="default" w:eastAsia="宋体"/>
                <w:color w:val="auto"/>
                <w:lang w:val="en-US" w:eastAsia="zh-CN"/>
              </w:rPr>
            </w:pPr>
            <w:r>
              <w:rPr>
                <w:rFonts w:hint="eastAsia" w:ascii="宋体" w:hAnsi="宋体" w:eastAsia="宋体" w:cs="宋体"/>
                <w:color w:val="auto"/>
                <w:sz w:val="18"/>
                <w:szCs w:val="18"/>
                <w:lang w:val="en-US" w:eastAsia="zh-CN"/>
              </w:rPr>
              <w:t>为包联抗疫人员提供住宿保障，保障抗疫人员安心工作，切实保障广大人民群众的身体健康</w:t>
            </w:r>
          </w:p>
        </w:tc>
        <w:tc>
          <w:tcPr>
            <w:tcW w:w="591"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rFonts w:hint="default" w:eastAsia="宋体"/>
                <w:color w:val="auto"/>
                <w:lang w:val="en-US" w:eastAsia="zh-CN"/>
              </w:rPr>
            </w:pPr>
            <w:r>
              <w:rPr>
                <w:rFonts w:hint="eastAsia" w:ascii="宋体" w:hAnsi="宋体" w:eastAsia="宋体" w:cs="宋体"/>
                <w:color w:val="auto"/>
                <w:sz w:val="18"/>
                <w:szCs w:val="18"/>
                <w:lang w:val="en-US" w:eastAsia="zh-CN"/>
              </w:rPr>
              <w:t>15</w:t>
            </w:r>
            <w:r>
              <w:rPr>
                <w:rFonts w:hint="eastAsia" w:ascii="宋体" w:hAnsi="宋体" w:eastAsia="宋体" w:cs="宋体"/>
                <w:color w:val="auto"/>
                <w:sz w:val="18"/>
                <w:szCs w:val="18"/>
              </w:rPr>
              <w:t>　</w:t>
            </w:r>
          </w:p>
        </w:tc>
        <w:tc>
          <w:tcPr>
            <w:tcW w:w="714"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color w:val="auto"/>
              </w:rPr>
            </w:pPr>
            <w:r>
              <w:rPr>
                <w:rFonts w:hint="eastAsia" w:ascii="宋体" w:hAnsi="宋体" w:eastAsia="宋体" w:cs="宋体"/>
                <w:color w:val="auto"/>
                <w:sz w:val="18"/>
                <w:szCs w:val="18"/>
                <w:lang w:val="en-US" w:eastAsia="zh-CN"/>
              </w:rPr>
              <w:t>15</w:t>
            </w:r>
            <w:r>
              <w:rPr>
                <w:rFonts w:hint="eastAsia" w:ascii="宋体" w:hAnsi="宋体" w:eastAsia="宋体" w:cs="宋体"/>
                <w:color w:val="auto"/>
                <w:sz w:val="18"/>
                <w:szCs w:val="18"/>
              </w:rPr>
              <w:t>　</w:t>
            </w:r>
          </w:p>
        </w:tc>
        <w:tc>
          <w:tcPr>
            <w:tcW w:w="1579"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113" w:type="dxa"/>
          <w:jc w:val="center"/>
        </w:trPr>
        <w:tc>
          <w:tcPr>
            <w:tcW w:w="846"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1" w:type="dxa"/>
            <w:gridSpan w:val="4"/>
            <w:vMerge w:val="continue"/>
            <w:tcBorders>
              <w:left w:val="nil"/>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1464"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可持续影响 指</w:t>
            </w:r>
            <w:r>
              <w:rPr>
                <w:rFonts w:hint="eastAsia" w:ascii="宋体" w:hAnsi="宋体" w:eastAsia="宋体" w:cs="宋体"/>
                <w:color w:val="auto"/>
                <w:sz w:val="18"/>
                <w:szCs w:val="18"/>
                <w:lang w:val="en-US"/>
              </w:rPr>
              <w:t xml:space="preserve">    </w:t>
            </w:r>
            <w:r>
              <w:rPr>
                <w:rFonts w:hint="eastAsia" w:ascii="宋体" w:hAnsi="宋体" w:eastAsia="宋体" w:cs="宋体"/>
                <w:color w:val="auto"/>
                <w:sz w:val="18"/>
                <w:szCs w:val="18"/>
              </w:rPr>
              <w:t>标</w:t>
            </w:r>
          </w:p>
        </w:tc>
        <w:tc>
          <w:tcPr>
            <w:tcW w:w="1098"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持续推动医院公共卫生服务能力提升</w:t>
            </w:r>
          </w:p>
        </w:tc>
        <w:tc>
          <w:tcPr>
            <w:tcW w:w="65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color w:val="auto"/>
              </w:rPr>
            </w:pPr>
            <w:r>
              <w:rPr>
                <w:rFonts w:hint="eastAsia" w:ascii="宋体" w:hAnsi="宋体" w:eastAsia="宋体" w:cs="宋体"/>
                <w:color w:val="auto"/>
                <w:sz w:val="18"/>
                <w:szCs w:val="18"/>
                <w:lang w:val="en-US" w:eastAsia="zh-CN"/>
              </w:rPr>
              <w:t>有所提升</w:t>
            </w:r>
          </w:p>
        </w:tc>
        <w:tc>
          <w:tcPr>
            <w:tcW w:w="885"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color w:val="auto"/>
              </w:rPr>
            </w:pPr>
            <w:r>
              <w:rPr>
                <w:rFonts w:hint="eastAsia" w:ascii="宋体" w:hAnsi="宋体" w:eastAsia="宋体" w:cs="宋体"/>
                <w:color w:val="auto"/>
                <w:sz w:val="18"/>
                <w:szCs w:val="18"/>
                <w:lang w:val="en-US" w:eastAsia="zh-CN"/>
              </w:rPr>
              <w:t>有所提升</w:t>
            </w:r>
          </w:p>
        </w:tc>
        <w:tc>
          <w:tcPr>
            <w:tcW w:w="591"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color w:val="auto"/>
              </w:rPr>
            </w:pPr>
            <w:r>
              <w:rPr>
                <w:rFonts w:hint="eastAsia" w:ascii="宋体" w:hAnsi="宋体" w:eastAsia="宋体" w:cs="宋体"/>
                <w:color w:val="auto"/>
                <w:sz w:val="18"/>
                <w:szCs w:val="18"/>
                <w:lang w:val="en-US" w:eastAsia="zh-CN"/>
              </w:rPr>
              <w:t>15</w:t>
            </w:r>
            <w:r>
              <w:rPr>
                <w:rFonts w:hint="eastAsia" w:ascii="宋体" w:hAnsi="宋体" w:eastAsia="宋体" w:cs="宋体"/>
                <w:color w:val="auto"/>
                <w:sz w:val="18"/>
                <w:szCs w:val="18"/>
              </w:rPr>
              <w:t>　</w:t>
            </w:r>
          </w:p>
        </w:tc>
        <w:tc>
          <w:tcPr>
            <w:tcW w:w="714"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leftChars="0" w:right="0" w:rightChars="0"/>
              <w:rPr>
                <w:color w:val="auto"/>
              </w:rPr>
            </w:pPr>
            <w:r>
              <w:rPr>
                <w:rFonts w:hint="eastAsia" w:ascii="宋体" w:hAnsi="宋体" w:eastAsia="宋体" w:cs="宋体"/>
                <w:color w:val="auto"/>
                <w:sz w:val="18"/>
                <w:szCs w:val="18"/>
                <w:lang w:val="en-US" w:eastAsia="zh-CN"/>
              </w:rPr>
              <w:t>15</w:t>
            </w:r>
            <w:r>
              <w:rPr>
                <w:rFonts w:hint="eastAsia" w:ascii="宋体" w:hAnsi="宋体" w:eastAsia="宋体" w:cs="宋体"/>
                <w:color w:val="auto"/>
                <w:sz w:val="18"/>
                <w:szCs w:val="18"/>
              </w:rPr>
              <w:t>　</w:t>
            </w:r>
          </w:p>
        </w:tc>
        <w:tc>
          <w:tcPr>
            <w:tcW w:w="1579"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113" w:type="dxa"/>
          <w:jc w:val="center"/>
        </w:trPr>
        <w:tc>
          <w:tcPr>
            <w:tcW w:w="846"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p>
        </w:tc>
        <w:tc>
          <w:tcPr>
            <w:tcW w:w="931"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满意度 指</w:t>
            </w:r>
            <w:r>
              <w:rPr>
                <w:rFonts w:hint="eastAsia" w:ascii="宋体" w:hAnsi="宋体" w:eastAsia="宋体" w:cs="宋体"/>
                <w:color w:val="auto"/>
                <w:sz w:val="18"/>
                <w:szCs w:val="18"/>
                <w:lang w:val="en-US"/>
              </w:rPr>
              <w:t xml:space="preserve">  </w:t>
            </w:r>
            <w:r>
              <w:rPr>
                <w:rFonts w:hint="eastAsia" w:ascii="宋体" w:hAnsi="宋体" w:eastAsia="宋体" w:cs="宋体"/>
                <w:color w:val="auto"/>
                <w:sz w:val="18"/>
                <w:szCs w:val="18"/>
              </w:rPr>
              <w:t>标（</w:t>
            </w:r>
            <w:r>
              <w:rPr>
                <w:rFonts w:hint="eastAsia" w:ascii="宋体" w:hAnsi="宋体" w:eastAsia="宋体" w:cs="宋体"/>
                <w:color w:val="auto"/>
                <w:sz w:val="18"/>
                <w:szCs w:val="18"/>
                <w:lang w:val="en-US"/>
              </w:rPr>
              <w:t>10</w:t>
            </w:r>
            <w:r>
              <w:rPr>
                <w:rFonts w:hint="eastAsia" w:ascii="宋体" w:hAnsi="宋体" w:eastAsia="宋体" w:cs="宋体"/>
                <w:color w:val="auto"/>
                <w:sz w:val="18"/>
                <w:szCs w:val="18"/>
              </w:rPr>
              <w:t>）</w:t>
            </w:r>
          </w:p>
        </w:tc>
        <w:tc>
          <w:tcPr>
            <w:tcW w:w="1464"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满意度指标</w:t>
            </w:r>
          </w:p>
        </w:tc>
        <w:tc>
          <w:tcPr>
            <w:tcW w:w="1098"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Theme="minorEastAsia"/>
                <w:color w:val="auto"/>
                <w:lang w:val="en-US" w:eastAsia="zh-CN"/>
              </w:rPr>
            </w:pPr>
            <w:r>
              <w:rPr>
                <w:rFonts w:hint="eastAsia" w:ascii="宋体" w:hAnsi="宋体" w:eastAsia="宋体" w:cs="宋体"/>
                <w:color w:val="auto"/>
                <w:sz w:val="18"/>
                <w:szCs w:val="18"/>
                <w:lang w:val="en-US" w:eastAsia="zh-CN"/>
              </w:rPr>
              <w:t>患者满意度</w:t>
            </w:r>
          </w:p>
        </w:tc>
        <w:tc>
          <w:tcPr>
            <w:tcW w:w="65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95%</w:t>
            </w:r>
          </w:p>
        </w:tc>
        <w:tc>
          <w:tcPr>
            <w:tcW w:w="885"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95%</w:t>
            </w:r>
          </w:p>
        </w:tc>
        <w:tc>
          <w:tcPr>
            <w:tcW w:w="591"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rPr>
              <w:t>　</w:t>
            </w:r>
            <w:r>
              <w:rPr>
                <w:rFonts w:hint="eastAsia" w:ascii="宋体" w:hAnsi="宋体" w:eastAsia="宋体" w:cs="宋体"/>
                <w:color w:val="auto"/>
                <w:sz w:val="18"/>
                <w:szCs w:val="18"/>
                <w:lang w:val="en-US" w:eastAsia="zh-CN"/>
              </w:rPr>
              <w:t>10</w:t>
            </w:r>
          </w:p>
        </w:tc>
        <w:tc>
          <w:tcPr>
            <w:tcW w:w="714"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lang w:val="en-US" w:eastAsia="zh-CN"/>
              </w:rPr>
              <w:t>10</w:t>
            </w:r>
            <w:r>
              <w:rPr>
                <w:rFonts w:hint="eastAsia" w:ascii="宋体" w:hAnsi="宋体" w:eastAsia="宋体" w:cs="宋体"/>
                <w:color w:val="auto"/>
                <w:sz w:val="18"/>
                <w:szCs w:val="18"/>
              </w:rPr>
              <w:t>　</w:t>
            </w:r>
          </w:p>
        </w:tc>
        <w:tc>
          <w:tcPr>
            <w:tcW w:w="1579"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113" w:type="dxa"/>
          <w:jc w:val="center"/>
        </w:trPr>
        <w:tc>
          <w:tcPr>
            <w:tcW w:w="5874" w:type="dxa"/>
            <w:gridSpan w:val="19"/>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rPr>
              <w:t>总</w:t>
            </w:r>
            <w:r>
              <w:rPr>
                <w:rFonts w:hint="eastAsia" w:ascii="宋体" w:hAnsi="宋体" w:eastAsia="宋体" w:cs="宋体"/>
                <w:color w:val="auto"/>
                <w:sz w:val="18"/>
                <w:szCs w:val="18"/>
                <w:lang w:val="en-US"/>
              </w:rPr>
              <w:t xml:space="preserve">    </w:t>
            </w:r>
            <w:r>
              <w:rPr>
                <w:rFonts w:hint="eastAsia" w:ascii="宋体" w:hAnsi="宋体" w:eastAsia="宋体" w:cs="宋体"/>
                <w:color w:val="auto"/>
                <w:sz w:val="18"/>
                <w:szCs w:val="18"/>
              </w:rPr>
              <w:t>分</w:t>
            </w:r>
          </w:p>
        </w:tc>
        <w:tc>
          <w:tcPr>
            <w:tcW w:w="591"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auto"/>
              </w:rPr>
            </w:pPr>
            <w:r>
              <w:rPr>
                <w:rFonts w:hint="eastAsia" w:ascii="宋体" w:hAnsi="宋体" w:eastAsia="宋体" w:cs="宋体"/>
                <w:color w:val="auto"/>
                <w:sz w:val="18"/>
                <w:szCs w:val="18"/>
                <w:lang w:val="en-US"/>
              </w:rPr>
              <w:t>100</w:t>
            </w:r>
          </w:p>
        </w:tc>
        <w:tc>
          <w:tcPr>
            <w:tcW w:w="714"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default" w:eastAsia="宋体"/>
                <w:color w:val="auto"/>
                <w:lang w:val="en-US" w:eastAsia="zh-CN"/>
              </w:rPr>
            </w:pPr>
            <w:r>
              <w:rPr>
                <w:rFonts w:hint="eastAsia" w:ascii="宋体" w:hAnsi="宋体" w:eastAsia="宋体" w:cs="宋体"/>
                <w:color w:val="auto"/>
                <w:sz w:val="18"/>
                <w:szCs w:val="18"/>
                <w:lang w:val="en-US" w:eastAsia="zh-CN"/>
              </w:rPr>
              <w:t>88.61</w:t>
            </w:r>
          </w:p>
        </w:tc>
        <w:tc>
          <w:tcPr>
            <w:tcW w:w="1579"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color w:val="auto"/>
              </w:rPr>
            </w:pPr>
            <w:r>
              <w:rPr>
                <w:rFonts w:hint="eastAsia" w:ascii="宋体" w:hAnsi="宋体" w:eastAsia="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113" w:type="dxa"/>
          <w:trHeight w:val="0" w:hRule="atLeast"/>
          <w:jc w:val="center"/>
        </w:trPr>
        <w:tc>
          <w:tcPr>
            <w:tcW w:w="846" w:type="dxa"/>
            <w:gridSpan w:val="2"/>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572" w:type="dxa"/>
            <w:gridSpan w:val="2"/>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359" w:type="dxa"/>
            <w:gridSpan w:val="2"/>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1224" w:type="dxa"/>
            <w:gridSpan w:val="2"/>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240" w:type="dxa"/>
            <w:gridSpan w:val="2"/>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844" w:type="dxa"/>
            <w:gridSpan w:val="2"/>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254" w:type="dxa"/>
            <w:gridSpan w:val="2"/>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650" w:type="dxa"/>
            <w:gridSpan w:val="2"/>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885" w:type="dxa"/>
            <w:gridSpan w:val="3"/>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200" w:type="dxa"/>
            <w:gridSpan w:val="2"/>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391" w:type="dxa"/>
            <w:gridSpan w:val="2"/>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368" w:type="dxa"/>
            <w:gridSpan w:val="2"/>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346" w:type="dxa"/>
            <w:gridSpan w:val="2"/>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724" w:type="dxa"/>
            <w:gridSpan w:val="2"/>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c>
          <w:tcPr>
            <w:tcW w:w="855" w:type="dxa"/>
            <w:gridSpan w:val="2"/>
            <w:tcBorders>
              <w:top w:val="nil"/>
              <w:left w:val="nil"/>
              <w:bottom w:val="nil"/>
              <w:right w:val="nil"/>
            </w:tcBorders>
            <w:shd w:val="clear" w:color="auto" w:fill="auto"/>
            <w:vAlign w:val="center"/>
          </w:tcPr>
          <w:p>
            <w:pPr>
              <w:keepNext w:val="0"/>
              <w:keepLines w:val="0"/>
              <w:widowControl/>
              <w:suppressLineNumbers w:val="0"/>
              <w:jc w:val="left"/>
            </w:pPr>
            <w:r>
              <w:rPr>
                <w:rFonts w:ascii="宋体" w:hAnsi="宋体" w:eastAsia="宋体" w:cs="宋体"/>
                <w:sz w:val="24"/>
                <w:szCs w:val="24"/>
              </w:rPr>
              <w:t> </w:t>
            </w:r>
          </w:p>
        </w:tc>
      </w:tr>
    </w:tbl>
    <w:p>
      <w:pPr>
        <w:keepNext w:val="0"/>
        <w:keepLines w:val="0"/>
        <w:widowControl/>
        <w:suppressLineNumbers w:val="0"/>
        <w:spacing w:before="0" w:beforeAutospacing="1" w:after="0" w:afterAutospacing="1" w:line="560" w:lineRule="atLeast"/>
        <w:ind w:left="0" w:right="0" w:firstLine="640"/>
        <w:jc w:val="both"/>
        <w:rPr>
          <w:color w:val="0000FF"/>
          <w:sz w:val="32"/>
          <w:szCs w:val="32"/>
        </w:rPr>
      </w:pPr>
    </w:p>
    <w:p>
      <w:pPr>
        <w:pStyle w:val="2"/>
      </w:pPr>
    </w:p>
    <w:p>
      <w:pPr>
        <w:keepNext w:val="0"/>
        <w:keepLines w:val="0"/>
        <w:widowControl/>
        <w:suppressLineNumbers w:val="0"/>
        <w:spacing w:before="0" w:beforeAutospacing="1" w:after="0" w:afterAutospacing="1"/>
        <w:ind w:left="0" w:right="0" w:firstLine="643"/>
        <w:jc w:val="both"/>
      </w:pPr>
      <w:r>
        <w:rPr>
          <w:rFonts w:hint="eastAsia" w:ascii="楷体" w:hAnsi="楷体" w:eastAsia="楷体" w:cs="楷体"/>
          <w:b/>
          <w:bCs/>
          <w:sz w:val="32"/>
          <w:szCs w:val="32"/>
        </w:rPr>
        <w:t>（三）</w:t>
      </w:r>
      <w:r>
        <w:rPr>
          <w:rFonts w:hint="eastAsia" w:ascii="楷体" w:hAnsi="楷体" w:eastAsia="楷体" w:cs="楷体"/>
          <w:b/>
          <w:bCs/>
          <w:sz w:val="32"/>
          <w:szCs w:val="32"/>
          <w:lang w:val="en-US"/>
        </w:rPr>
        <w:t>单位</w:t>
      </w:r>
      <w:r>
        <w:rPr>
          <w:rFonts w:hint="eastAsia" w:ascii="楷体" w:hAnsi="楷体" w:eastAsia="楷体" w:cs="楷体"/>
          <w:b/>
          <w:bCs/>
          <w:sz w:val="32"/>
          <w:szCs w:val="32"/>
        </w:rPr>
        <w:t>项目绩效评价结果。</w:t>
      </w:r>
    </w:p>
    <w:p>
      <w:pPr>
        <w:keepNext w:val="0"/>
        <w:keepLines w:val="0"/>
        <w:widowControl/>
        <w:suppressLineNumbers w:val="0"/>
        <w:spacing w:before="0" w:beforeAutospacing="1" w:after="0" w:afterAutospacing="1"/>
        <w:ind w:left="0" w:right="0" w:firstLine="640"/>
        <w:jc w:val="both"/>
        <w:rPr>
          <w:rFonts w:hint="eastAsia" w:ascii="宋体" w:hAnsi="宋体" w:eastAsia="宋体" w:cs="宋体"/>
          <w:b/>
          <w:bCs/>
          <w:i w:val="0"/>
          <w:iCs w:val="0"/>
          <w:color w:val="000000"/>
          <w:kern w:val="0"/>
          <w:sz w:val="24"/>
          <w:szCs w:val="24"/>
          <w:u w:val="none"/>
          <w:lang w:val="en-US" w:eastAsia="zh-CN" w:bidi="ar"/>
        </w:rPr>
      </w:pPr>
      <w:r>
        <w:rPr>
          <w:sz w:val="32"/>
          <w:szCs w:val="32"/>
        </w:rPr>
        <w:t>以</w:t>
      </w:r>
      <w:r>
        <w:rPr>
          <w:rFonts w:hint="eastAsia"/>
          <w:sz w:val="32"/>
          <w:szCs w:val="32"/>
          <w:lang w:val="en-US" w:eastAsia="zh-CN"/>
        </w:rPr>
        <w:t>精神卫生疾病防治</w:t>
      </w:r>
      <w:r>
        <w:rPr>
          <w:sz w:val="32"/>
          <w:szCs w:val="32"/>
        </w:rPr>
        <w:t>为例，该项目绩效评价综合得分为</w:t>
      </w:r>
      <w:r>
        <w:rPr>
          <w:rFonts w:hint="default" w:ascii="Times New Roman" w:hAnsi="Times New Roman" w:cs="Times New Roman"/>
          <w:sz w:val="32"/>
          <w:szCs w:val="32"/>
          <w:u w:val="single"/>
          <w:lang w:val="en-US"/>
        </w:rPr>
        <w:t> </w:t>
      </w:r>
      <w:r>
        <w:rPr>
          <w:rFonts w:hint="default"/>
          <w:sz w:val="32"/>
          <w:szCs w:val="32"/>
          <w:u w:val="single"/>
          <w:lang w:val="en-US"/>
        </w:rPr>
        <w:t> </w:t>
      </w:r>
      <w:r>
        <w:rPr>
          <w:rFonts w:hint="eastAsia"/>
          <w:sz w:val="32"/>
          <w:szCs w:val="32"/>
          <w:u w:val="single"/>
          <w:lang w:val="en-US" w:eastAsia="zh-CN"/>
        </w:rPr>
        <w:t>93.5</w:t>
      </w:r>
      <w:r>
        <w:rPr>
          <w:rFonts w:hint="default"/>
          <w:sz w:val="32"/>
          <w:szCs w:val="32"/>
          <w:u w:val="single"/>
          <w:lang w:val="en-US"/>
        </w:rPr>
        <w:t xml:space="preserve"> </w:t>
      </w:r>
      <w:r>
        <w:rPr>
          <w:sz w:val="32"/>
          <w:szCs w:val="32"/>
        </w:rPr>
        <w:t>分，绩效评价结果为</w:t>
      </w:r>
      <w:r>
        <w:rPr>
          <w:rFonts w:hint="default" w:ascii="Times New Roman" w:hAnsi="Times New Roman" w:cs="Times New Roman"/>
          <w:sz w:val="32"/>
          <w:szCs w:val="32"/>
          <w:lang w:val="en-US"/>
        </w:rPr>
        <w:t>“</w:t>
      </w:r>
      <w:r>
        <w:rPr>
          <w:sz w:val="32"/>
          <w:szCs w:val="32"/>
        </w:rPr>
        <w:t>优</w:t>
      </w:r>
      <w:r>
        <w:rPr>
          <w:rFonts w:hint="default" w:ascii="Times New Roman" w:hAnsi="Times New Roman" w:cs="Times New Roman"/>
          <w:sz w:val="32"/>
          <w:szCs w:val="32"/>
          <w:lang w:val="en-US"/>
        </w:rPr>
        <w:t>”</w:t>
      </w:r>
      <w:r>
        <w:rPr>
          <w:sz w:val="32"/>
          <w:szCs w:val="32"/>
        </w:rPr>
        <w:t>。重点项目绩效评价得分情况详见</w:t>
      </w:r>
      <w:r>
        <w:rPr>
          <w:sz w:val="32"/>
          <w:szCs w:val="32"/>
          <w:lang w:val="en-US"/>
        </w:rPr>
        <w:t>单位</w:t>
      </w:r>
      <w:r>
        <w:rPr>
          <w:sz w:val="32"/>
          <w:szCs w:val="32"/>
        </w:rPr>
        <w:t>具体绩效评价结果。</w:t>
      </w:r>
    </w:p>
    <w:p>
      <w:pPr>
        <w:spacing w:line="620" w:lineRule="exact"/>
        <w:ind w:firstLine="880"/>
        <w:jc w:val="center"/>
        <w:rPr>
          <w:rFonts w:hint="eastAsia" w:ascii="方正小标宋简体" w:eastAsia="方正小标宋简体"/>
          <w:sz w:val="44"/>
          <w:szCs w:val="44"/>
        </w:rPr>
      </w:pPr>
    </w:p>
    <w:p>
      <w:pPr>
        <w:spacing w:line="620" w:lineRule="exact"/>
        <w:ind w:firstLine="880"/>
        <w:jc w:val="center"/>
        <w:rPr>
          <w:rFonts w:ascii="方正小标宋简体" w:eastAsia="方正小标宋简体"/>
          <w:sz w:val="44"/>
          <w:szCs w:val="44"/>
        </w:rPr>
      </w:pPr>
      <w:r>
        <w:rPr>
          <w:rFonts w:hint="eastAsia" w:ascii="方正小标宋简体" w:eastAsia="方正小标宋简体"/>
          <w:sz w:val="44"/>
          <w:szCs w:val="44"/>
        </w:rPr>
        <w:t>2022年</w:t>
      </w:r>
      <w:r>
        <w:rPr>
          <w:rFonts w:ascii="方正小标宋简体" w:hAnsi="方正小标宋简体" w:eastAsia="方正小标宋简体" w:cs="方正小标宋简体"/>
          <w:sz w:val="44"/>
        </w:rPr>
        <w:t>精神卫生疾病防治项目绩效自评报告</w:t>
      </w:r>
    </w:p>
    <w:p>
      <w:pPr>
        <w:numPr>
          <w:ilvl w:val="0"/>
          <w:numId w:val="4"/>
        </w:numPr>
        <w:spacing w:line="240" w:lineRule="auto"/>
        <w:ind w:left="0" w:firstLine="0" w:firstLineChars="0"/>
        <w:jc w:val="left"/>
        <w:rPr>
          <w:rFonts w:ascii="仿宋" w:hAnsi="仿宋" w:eastAsia="仿宋"/>
          <w:b/>
          <w:sz w:val="32"/>
          <w:szCs w:val="32"/>
        </w:rPr>
      </w:pPr>
      <w:r>
        <w:rPr>
          <w:rFonts w:hint="eastAsia" w:ascii="仿宋" w:hAnsi="仿宋" w:eastAsia="仿宋"/>
          <w:b/>
          <w:sz w:val="32"/>
          <w:szCs w:val="32"/>
        </w:rPr>
        <w:t>项目</w:t>
      </w:r>
      <w:r>
        <w:rPr>
          <w:rFonts w:hint="eastAsia" w:ascii="仿宋" w:hAnsi="仿宋" w:eastAsia="仿宋"/>
          <w:b/>
          <w:sz w:val="32"/>
          <w:szCs w:val="32"/>
          <w:lang w:val="en-US" w:eastAsia="zh-CN"/>
        </w:rPr>
        <w:t>基本</w:t>
      </w:r>
      <w:r>
        <w:rPr>
          <w:rFonts w:hint="eastAsia" w:ascii="仿宋" w:hAnsi="仿宋" w:eastAsia="仿宋"/>
          <w:b/>
          <w:sz w:val="32"/>
          <w:szCs w:val="32"/>
        </w:rPr>
        <w:t>情况</w:t>
      </w:r>
    </w:p>
    <w:p>
      <w:pPr>
        <w:spacing w:before="188" w:line="204" w:lineRule="auto"/>
        <w:ind w:firstLine="577"/>
        <w:rPr>
          <w:rFonts w:ascii="仿宋" w:hAnsi="仿宋" w:eastAsia="仿宋"/>
          <w:b/>
          <w:sz w:val="32"/>
          <w:szCs w:val="32"/>
        </w:rPr>
      </w:pPr>
      <w:r>
        <w:rPr>
          <w:rFonts w:ascii="仿宋" w:hAnsi="仿宋" w:eastAsia="仿宋" w:cs="仿宋"/>
          <w:spacing w:val="3"/>
          <w:sz w:val="30"/>
          <w:szCs w:val="30"/>
        </w:rPr>
        <w:t>（一）项目基本情况简介。</w:t>
      </w:r>
    </w:p>
    <w:p>
      <w:pPr>
        <w:spacing w:line="620" w:lineRule="exact"/>
        <w:ind w:firstLine="990" w:firstLineChars="330"/>
        <w:rPr>
          <w:rFonts w:hint="eastAsia" w:ascii="仿宋"/>
          <w:sz w:val="32"/>
        </w:rPr>
      </w:pPr>
      <w:r>
        <w:rPr>
          <w:rFonts w:hint="eastAsia" w:ascii="仿宋"/>
          <w:sz w:val="30"/>
          <w:szCs w:val="30"/>
        </w:rPr>
        <w:t>精神卫生疾病防治</w:t>
      </w:r>
    </w:p>
    <w:p>
      <w:pPr>
        <w:numPr>
          <w:ilvl w:val="0"/>
          <w:numId w:val="5"/>
        </w:numPr>
        <w:spacing w:before="188" w:line="204" w:lineRule="auto"/>
        <w:ind w:firstLine="577"/>
        <w:rPr>
          <w:rFonts w:ascii="仿宋" w:hAnsi="仿宋" w:eastAsia="仿宋" w:cs="仿宋"/>
          <w:spacing w:val="8"/>
          <w:sz w:val="30"/>
          <w:szCs w:val="30"/>
        </w:rPr>
      </w:pPr>
      <w:r>
        <w:rPr>
          <w:rFonts w:ascii="仿宋" w:hAnsi="仿宋" w:eastAsia="仿宋" w:cs="仿宋"/>
          <w:spacing w:val="8"/>
          <w:sz w:val="30"/>
          <w:szCs w:val="30"/>
        </w:rPr>
        <w:t>绩效目标设定及</w:t>
      </w:r>
      <w:r>
        <w:rPr>
          <w:rFonts w:hint="eastAsia" w:ascii="仿宋" w:hAnsi="仿宋" w:eastAsia="仿宋" w:cs="仿宋"/>
          <w:spacing w:val="8"/>
          <w:sz w:val="30"/>
          <w:szCs w:val="30"/>
          <w:lang w:val="en-US" w:eastAsia="zh-CN"/>
        </w:rPr>
        <w:t>指标</w:t>
      </w:r>
      <w:r>
        <w:rPr>
          <w:rFonts w:ascii="仿宋" w:hAnsi="仿宋" w:eastAsia="仿宋" w:cs="仿宋"/>
          <w:spacing w:val="8"/>
          <w:sz w:val="30"/>
          <w:szCs w:val="30"/>
        </w:rPr>
        <w:t>完成情况。</w:t>
      </w:r>
    </w:p>
    <w:p>
      <w:pPr>
        <w:numPr>
          <w:ilvl w:val="0"/>
          <w:numId w:val="0"/>
        </w:numPr>
        <w:spacing w:before="188" w:line="204" w:lineRule="auto"/>
        <w:ind w:left="420" w:leftChars="0" w:firstLine="420" w:firstLineChars="0"/>
        <w:rPr>
          <w:rFonts w:hint="eastAsia" w:ascii="仿宋" w:hAnsi="仿宋" w:eastAsia="仿宋" w:cs="仿宋"/>
          <w:color w:val="auto"/>
          <w:spacing w:val="8"/>
          <w:sz w:val="30"/>
          <w:szCs w:val="30"/>
          <w:lang w:val="en-US" w:eastAsia="zh-CN"/>
        </w:rPr>
      </w:pPr>
      <w:r>
        <w:rPr>
          <w:rFonts w:hint="eastAsia" w:ascii="仿宋" w:hAnsi="仿宋" w:eastAsia="仿宋" w:cs="仿宋"/>
          <w:color w:val="auto"/>
          <w:spacing w:val="8"/>
          <w:sz w:val="30"/>
          <w:szCs w:val="30"/>
          <w:lang w:val="en-US" w:eastAsia="zh-CN"/>
        </w:rPr>
        <w:t>预期目标：</w:t>
      </w:r>
      <w:r>
        <w:rPr>
          <w:rFonts w:ascii="仿宋" w:hAnsi="仿宋" w:eastAsia="仿宋" w:cs="仿宋"/>
          <w:color w:val="auto"/>
          <w:spacing w:val="8"/>
          <w:sz w:val="30"/>
        </w:rPr>
        <w:t>通过免费赠药项目提高贫困精神障碍患者服药率,降低社会危害.</w:t>
      </w:r>
    </w:p>
    <w:p>
      <w:pPr>
        <w:numPr>
          <w:ilvl w:val="0"/>
          <w:numId w:val="0"/>
        </w:numPr>
        <w:spacing w:before="188" w:line="204" w:lineRule="auto"/>
        <w:ind w:left="420" w:leftChars="0" w:firstLine="420" w:firstLineChars="0"/>
        <w:rPr>
          <w:rFonts w:hint="default" w:ascii="仿宋" w:hAnsi="仿宋" w:eastAsia="仿宋" w:cs="仿宋"/>
          <w:color w:val="auto"/>
          <w:spacing w:val="8"/>
          <w:sz w:val="30"/>
          <w:szCs w:val="30"/>
          <w:lang w:val="en-US" w:eastAsia="zh-CN"/>
        </w:rPr>
      </w:pPr>
      <w:r>
        <w:rPr>
          <w:rFonts w:hint="eastAsia" w:ascii="仿宋" w:hAnsi="仿宋" w:eastAsia="仿宋" w:cs="仿宋"/>
          <w:color w:val="auto"/>
          <w:spacing w:val="8"/>
          <w:sz w:val="30"/>
          <w:szCs w:val="30"/>
          <w:lang w:val="en-US" w:eastAsia="zh-CN"/>
        </w:rPr>
        <w:t>绩效目标实际完成情况：</w:t>
      </w:r>
      <w:r>
        <w:rPr>
          <w:rFonts w:ascii="仿宋" w:hAnsi="仿宋" w:eastAsia="仿宋" w:cs="仿宋"/>
          <w:color w:val="auto"/>
          <w:spacing w:val="8"/>
          <w:sz w:val="30"/>
        </w:rPr>
        <w:t>已完成年初制定目标，发放免费赠药，提高贫困患者服药率。</w:t>
      </w:r>
    </w:p>
    <w:p>
      <w:pPr>
        <w:spacing w:line="620" w:lineRule="exact"/>
        <w:ind w:firstLine="640"/>
        <w:rPr>
          <w:rFonts w:hint="eastAsia" w:ascii="仿宋"/>
          <w:sz w:val="32"/>
        </w:rPr>
      </w:pPr>
    </w:p>
    <w:p>
      <w:pPr>
        <w:numPr>
          <w:ilvl w:val="0"/>
          <w:numId w:val="4"/>
        </w:numPr>
        <w:spacing w:line="240" w:lineRule="auto"/>
        <w:ind w:left="0" w:firstLine="0" w:firstLineChars="0"/>
        <w:rPr>
          <w:rFonts w:ascii="仿宋" w:hAnsi="仿宋" w:eastAsia="仿宋"/>
          <w:b/>
          <w:sz w:val="32"/>
          <w:szCs w:val="32"/>
        </w:rPr>
      </w:pPr>
      <w:r>
        <w:rPr>
          <w:rFonts w:hint="eastAsia" w:ascii="仿宋" w:hAnsi="仿宋" w:eastAsia="仿宋"/>
          <w:b/>
          <w:sz w:val="32"/>
          <w:szCs w:val="32"/>
          <w:lang w:val="en-US" w:eastAsia="zh-CN"/>
        </w:rPr>
        <w:t>绩效自评工作</w:t>
      </w:r>
      <w:r>
        <w:rPr>
          <w:rFonts w:hint="eastAsia" w:ascii="仿宋" w:hAnsi="仿宋" w:eastAsia="仿宋"/>
          <w:b/>
          <w:sz w:val="32"/>
          <w:szCs w:val="32"/>
        </w:rPr>
        <w:t>情况</w:t>
      </w:r>
    </w:p>
    <w:p>
      <w:pPr>
        <w:numPr>
          <w:ilvl w:val="0"/>
          <w:numId w:val="6"/>
        </w:numPr>
        <w:spacing w:before="188" w:line="204" w:lineRule="auto"/>
        <w:ind w:firstLine="577"/>
        <w:rPr>
          <w:rFonts w:ascii="仿宋" w:hAnsi="仿宋" w:eastAsia="仿宋" w:cs="仿宋"/>
          <w:spacing w:val="1"/>
          <w:sz w:val="30"/>
          <w:szCs w:val="30"/>
        </w:rPr>
      </w:pPr>
      <w:r>
        <w:rPr>
          <w:rFonts w:ascii="仿宋" w:hAnsi="仿宋" w:eastAsia="仿宋" w:cs="仿宋"/>
          <w:spacing w:val="1"/>
          <w:sz w:val="30"/>
          <w:szCs w:val="30"/>
        </w:rPr>
        <w:t>绩效自评目的。</w:t>
      </w:r>
    </w:p>
    <w:p>
      <w:pPr>
        <w:keepNext w:val="0"/>
        <w:keepLines w:val="0"/>
        <w:widowControl/>
        <w:suppressLineNumbers w:val="0"/>
        <w:jc w:val="left"/>
        <w:rPr>
          <w:rFonts w:hint="default" w:ascii="仿宋" w:hAnsi="仿宋" w:eastAsia="仿宋" w:cs="仿宋"/>
          <w:spacing w:val="1"/>
          <w:sz w:val="30"/>
          <w:szCs w:val="30"/>
        </w:rPr>
      </w:pPr>
      <w:r>
        <w:rPr>
          <w:rFonts w:hint="default" w:ascii="仿宋" w:hAnsi="仿宋" w:eastAsia="仿宋" w:cs="仿宋"/>
          <w:spacing w:val="1"/>
          <w:sz w:val="30"/>
          <w:szCs w:val="30"/>
        </w:rPr>
        <w:t>根据年初设定的绩效目标，运用科学合理的绩效评价指标、评价标准和评价方法，对项目支出的产出情况、效益情况及满意度情况进行客观、公正的评价。通过绩效自评，实现预算编制有目标，预算执行有监控，预算完成有评价。主要推进项目资金安排的科学性、合理性、规范性和资金使用成效。并通过绩效评价发现问题，强化整改，及时总结项目管理经验、完善项目管理办法，提高项目管理水平和项目资金的使用效益。</w:t>
      </w:r>
    </w:p>
    <w:p>
      <w:pPr>
        <w:spacing w:before="189" w:line="204" w:lineRule="auto"/>
        <w:ind w:firstLine="577"/>
        <w:rPr>
          <w:rFonts w:ascii="仿宋" w:hAnsi="仿宋" w:eastAsia="仿宋" w:cs="仿宋"/>
          <w:spacing w:val="4"/>
          <w:sz w:val="30"/>
          <w:szCs w:val="30"/>
        </w:rPr>
      </w:pPr>
      <w:r>
        <w:rPr>
          <w:rFonts w:ascii="仿宋" w:hAnsi="仿宋" w:eastAsia="仿宋" w:cs="仿宋"/>
          <w:spacing w:val="4"/>
          <w:sz w:val="30"/>
          <w:szCs w:val="30"/>
        </w:rPr>
        <w:t>（二）项目资金投入情况。</w:t>
      </w:r>
    </w:p>
    <w:p>
      <w:pPr>
        <w:keepNext w:val="0"/>
        <w:keepLines w:val="0"/>
        <w:pageBreakBefore w:val="0"/>
        <w:widowControl/>
        <w:kinsoku w:val="0"/>
        <w:wordWrap/>
        <w:overflowPunct/>
        <w:topLinePunct w:val="0"/>
        <w:autoSpaceDE w:val="0"/>
        <w:autoSpaceDN w:val="0"/>
        <w:bidi w:val="0"/>
        <w:adjustRightInd w:val="0"/>
        <w:snapToGrid w:val="0"/>
        <w:spacing w:before="189" w:line="312" w:lineRule="auto"/>
        <w:ind w:left="420" w:leftChars="0" w:firstLine="420" w:firstLineChars="0"/>
        <w:textAlignment w:val="baseline"/>
        <w:rPr>
          <w:rFonts w:hint="eastAsia" w:ascii="仿宋" w:hAnsi="仿宋" w:eastAsia="仿宋" w:cs="仿宋"/>
          <w:color w:val="auto"/>
          <w:spacing w:val="4"/>
          <w:sz w:val="30"/>
          <w:szCs w:val="30"/>
          <w:lang w:val="en-US" w:eastAsia="zh-CN"/>
        </w:rPr>
      </w:pPr>
      <w:r>
        <w:rPr>
          <w:rFonts w:hint="eastAsia" w:ascii="仿宋" w:hAnsi="仿宋" w:eastAsia="仿宋" w:cs="仿宋"/>
          <w:color w:val="auto"/>
          <w:spacing w:val="4"/>
          <w:sz w:val="30"/>
          <w:szCs w:val="30"/>
          <w:lang w:val="en-US" w:eastAsia="zh-CN"/>
        </w:rPr>
        <w:t>本年度资金年初预算数</w:t>
      </w:r>
      <w:r>
        <w:rPr>
          <w:rFonts w:ascii="仿宋" w:hAnsi="仿宋" w:eastAsia="仿宋" w:cs="仿宋"/>
          <w:color w:val="auto"/>
          <w:spacing w:val="4"/>
          <w:sz w:val="30"/>
        </w:rPr>
        <w:t>40.00万元，其中：财政拨款40.00万元，其他资金0.00万元。</w:t>
      </w:r>
    </w:p>
    <w:p>
      <w:pPr>
        <w:keepNext w:val="0"/>
        <w:keepLines w:val="0"/>
        <w:pageBreakBefore w:val="0"/>
        <w:widowControl/>
        <w:kinsoku w:val="0"/>
        <w:wordWrap/>
        <w:overflowPunct/>
        <w:topLinePunct w:val="0"/>
        <w:autoSpaceDE w:val="0"/>
        <w:autoSpaceDN w:val="0"/>
        <w:bidi w:val="0"/>
        <w:adjustRightInd w:val="0"/>
        <w:snapToGrid w:val="0"/>
        <w:spacing w:before="189" w:line="312" w:lineRule="auto"/>
        <w:ind w:left="420" w:leftChars="0" w:firstLine="420" w:firstLineChars="0"/>
        <w:textAlignment w:val="baseline"/>
        <w:rPr>
          <w:rFonts w:hint="default" w:ascii="仿宋" w:hAnsi="仿宋" w:eastAsia="仿宋" w:cs="仿宋"/>
          <w:color w:val="auto"/>
          <w:spacing w:val="4"/>
          <w:sz w:val="30"/>
          <w:szCs w:val="30"/>
          <w:lang w:val="en-US" w:eastAsia="zh-CN"/>
        </w:rPr>
      </w:pPr>
      <w:r>
        <w:rPr>
          <w:rFonts w:hint="eastAsia" w:ascii="仿宋" w:hAnsi="仿宋" w:eastAsia="仿宋" w:cs="仿宋"/>
          <w:color w:val="auto"/>
          <w:spacing w:val="4"/>
          <w:sz w:val="30"/>
          <w:szCs w:val="30"/>
          <w:lang w:val="en-US" w:eastAsia="zh-CN"/>
        </w:rPr>
        <w:t>本年度资金全年预算数</w:t>
      </w:r>
      <w:r>
        <w:rPr>
          <w:rFonts w:ascii="仿宋" w:hAnsi="仿宋" w:eastAsia="仿宋" w:cs="仿宋"/>
          <w:color w:val="auto"/>
          <w:spacing w:val="4"/>
          <w:sz w:val="30"/>
        </w:rPr>
        <w:t>40.00万元，其中：财政拨款40.00万元，其他资金0.00万元。</w:t>
      </w:r>
    </w:p>
    <w:p>
      <w:pPr>
        <w:keepNext w:val="0"/>
        <w:keepLines w:val="0"/>
        <w:pageBreakBefore w:val="0"/>
        <w:widowControl/>
        <w:kinsoku w:val="0"/>
        <w:wordWrap/>
        <w:overflowPunct/>
        <w:topLinePunct w:val="0"/>
        <w:autoSpaceDE w:val="0"/>
        <w:autoSpaceDN w:val="0"/>
        <w:bidi w:val="0"/>
        <w:adjustRightInd w:val="0"/>
        <w:snapToGrid w:val="0"/>
        <w:spacing w:before="189" w:line="312" w:lineRule="auto"/>
        <w:ind w:left="420" w:leftChars="0" w:firstLine="420" w:firstLineChars="0"/>
        <w:textAlignment w:val="baseline"/>
        <w:rPr>
          <w:rFonts w:hint="default" w:ascii="仿宋" w:hAnsi="仿宋" w:eastAsia="仿宋" w:cs="仿宋"/>
          <w:color w:val="auto"/>
          <w:spacing w:val="4"/>
          <w:sz w:val="30"/>
          <w:szCs w:val="30"/>
          <w:lang w:val="en-US" w:eastAsia="zh-CN"/>
        </w:rPr>
      </w:pPr>
      <w:r>
        <w:rPr>
          <w:rFonts w:hint="eastAsia" w:ascii="仿宋" w:hAnsi="仿宋" w:eastAsia="仿宋" w:cs="仿宋"/>
          <w:color w:val="auto"/>
          <w:spacing w:val="4"/>
          <w:sz w:val="30"/>
          <w:szCs w:val="30"/>
          <w:lang w:val="en-US" w:eastAsia="zh-CN"/>
        </w:rPr>
        <w:t>本年度资金全年执行数</w:t>
      </w:r>
      <w:r>
        <w:rPr>
          <w:rFonts w:ascii="仿宋" w:hAnsi="仿宋" w:eastAsia="仿宋" w:cs="仿宋"/>
          <w:color w:val="auto"/>
          <w:spacing w:val="4"/>
          <w:sz w:val="30"/>
        </w:rPr>
        <w:t>40.00万元，其中：财政拨款40.00万元，其他资金0.00万元。</w:t>
      </w:r>
    </w:p>
    <w:p>
      <w:pPr>
        <w:numPr>
          <w:ilvl w:val="0"/>
          <w:numId w:val="6"/>
        </w:numPr>
        <w:spacing w:before="188" w:line="204" w:lineRule="auto"/>
        <w:ind w:left="0" w:leftChars="0" w:firstLine="616" w:firstLineChars="200"/>
        <w:rPr>
          <w:rFonts w:ascii="仿宋" w:hAnsi="仿宋" w:eastAsia="仿宋" w:cs="仿宋"/>
          <w:spacing w:val="4"/>
          <w:sz w:val="30"/>
          <w:szCs w:val="30"/>
        </w:rPr>
      </w:pPr>
      <w:r>
        <w:rPr>
          <w:rFonts w:ascii="仿宋" w:hAnsi="仿宋" w:eastAsia="仿宋" w:cs="仿宋"/>
          <w:spacing w:val="4"/>
          <w:sz w:val="30"/>
          <w:szCs w:val="30"/>
        </w:rPr>
        <w:t>项目资金产出情况。</w:t>
      </w:r>
    </w:p>
    <w:p>
      <w:pPr>
        <w:keepNext w:val="0"/>
        <w:keepLines w:val="0"/>
        <w:widowControl/>
        <w:suppressLineNumbers w:val="0"/>
        <w:jc w:val="left"/>
        <w:rPr>
          <w:rFonts w:ascii="仿宋" w:hAnsi="仿宋" w:eastAsia="仿宋" w:cs="仿宋"/>
          <w:spacing w:val="4"/>
          <w:sz w:val="30"/>
          <w:szCs w:val="30"/>
        </w:rPr>
      </w:pPr>
      <w:r>
        <w:rPr>
          <w:rFonts w:hint="default" w:ascii="仿宋" w:hAnsi="仿宋" w:eastAsia="仿宋" w:cs="仿宋"/>
          <w:spacing w:val="1"/>
          <w:sz w:val="30"/>
          <w:szCs w:val="30"/>
        </w:rPr>
        <w:t>项目资金产出分值50分，自评得分43.5分，主要是由于本年度疫情原因，部分资金用于心理危机干预。其中数量指标分值15分，得分14.19分，偏差原因：由于本年度疫情原因，部分资金用于心理危机干预；质量指标分值10分，得分10分；时效指标分值10分，得分9.72分，偏差原因：因疫情封闭原因，影响赠药及时率；成本指标分值,10分，得分9.59分，偏差原因：本年度因疫情原因开展了线上心理危机干预，减少了部分赠药。成本指标分值10分，得分4.59分，偏差原因：药品采购严格按照国家要求进行阳光采购，成本与年初计划相同。</w:t>
      </w:r>
    </w:p>
    <w:p>
      <w:pPr>
        <w:numPr>
          <w:ilvl w:val="0"/>
          <w:numId w:val="6"/>
        </w:numPr>
        <w:spacing w:before="189" w:line="204" w:lineRule="auto"/>
        <w:ind w:left="0" w:leftChars="0" w:firstLine="608" w:firstLineChars="200"/>
        <w:rPr>
          <w:rFonts w:ascii="仿宋" w:hAnsi="仿宋" w:eastAsia="仿宋" w:cs="仿宋"/>
          <w:spacing w:val="2"/>
          <w:sz w:val="30"/>
          <w:szCs w:val="30"/>
        </w:rPr>
      </w:pPr>
      <w:r>
        <w:rPr>
          <w:rFonts w:ascii="仿宋" w:hAnsi="仿宋" w:eastAsia="仿宋" w:cs="仿宋"/>
          <w:spacing w:val="2"/>
          <w:sz w:val="30"/>
          <w:szCs w:val="30"/>
        </w:rPr>
        <w:t>项目资金管理情况。</w:t>
      </w:r>
    </w:p>
    <w:p>
      <w:pPr>
        <w:keepNext w:val="0"/>
        <w:keepLines w:val="0"/>
        <w:widowControl/>
        <w:suppressLineNumbers w:val="0"/>
        <w:jc w:val="left"/>
        <w:rPr>
          <w:rFonts w:hint="default" w:ascii="仿宋" w:hAnsi="仿宋" w:eastAsia="仿宋" w:cs="仿宋"/>
          <w:spacing w:val="1"/>
          <w:sz w:val="30"/>
          <w:szCs w:val="30"/>
        </w:rPr>
      </w:pPr>
      <w:r>
        <w:rPr>
          <w:rFonts w:hint="default" w:ascii="仿宋" w:hAnsi="仿宋" w:eastAsia="仿宋" w:cs="仿宋"/>
          <w:spacing w:val="1"/>
          <w:sz w:val="30"/>
          <w:szCs w:val="30"/>
        </w:rPr>
        <w:t>医院能按要求使用和分配资金，没有发现擅自调项、扩项、缩项的现象，做到了专款专用，审批程序基本规范。建立了已绩效目标实现为导向、以绩效评价为手段、以结果应用为保障、以优化医院资源配置、提升项目实施质量、提高资金使用效率为目的的资金管理标准。本项目年初项目资金预算40万元，本年度完成40万元，执行率100%。</w:t>
      </w:r>
    </w:p>
    <w:p>
      <w:pPr>
        <w:numPr>
          <w:ilvl w:val="0"/>
          <w:numId w:val="0"/>
        </w:numPr>
        <w:spacing w:before="189" w:line="204" w:lineRule="auto"/>
        <w:ind w:leftChars="200"/>
        <w:rPr>
          <w:rFonts w:ascii="仿宋" w:hAnsi="仿宋" w:eastAsia="仿宋" w:cs="仿宋"/>
          <w:spacing w:val="2"/>
          <w:sz w:val="30"/>
          <w:szCs w:val="30"/>
        </w:rPr>
      </w:pPr>
    </w:p>
    <w:p>
      <w:pPr>
        <w:numPr>
          <w:ilvl w:val="0"/>
          <w:numId w:val="4"/>
        </w:numPr>
        <w:spacing w:line="240" w:lineRule="auto"/>
        <w:ind w:left="0" w:firstLine="0" w:firstLineChars="0"/>
        <w:rPr>
          <w:rFonts w:ascii="仿宋" w:hAnsi="仿宋" w:eastAsia="仿宋"/>
          <w:b/>
          <w:sz w:val="32"/>
          <w:szCs w:val="32"/>
        </w:rPr>
      </w:pPr>
      <w:r>
        <w:rPr>
          <w:rFonts w:hint="eastAsia" w:ascii="仿宋" w:hAnsi="仿宋" w:eastAsia="仿宋"/>
          <w:b/>
          <w:sz w:val="32"/>
          <w:szCs w:val="32"/>
          <w:lang w:val="en-US" w:eastAsia="zh-CN"/>
        </w:rPr>
        <w:t>项目绩效情况</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(一) 产出指标完成情况</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1、数量指标</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1)免费赠药金额，目标值</w:t>
      </w:r>
      <w:r>
        <w:rPr>
          <w:rFonts w:hint="eastAsia" w:ascii="仿宋" w:hAnsi="仿宋" w:eastAsia="仿宋"/>
          <w:sz w:val="32"/>
          <w:szCs w:val="32"/>
          <w:lang w:val="en-US" w:eastAsia="zh-CN"/>
        </w:rPr>
        <w:t>等于</w:t>
      </w:r>
      <w:r>
        <w:rPr>
          <w:rFonts w:hint="eastAsia" w:ascii="仿宋" w:hAnsi="仿宋" w:eastAsia="仿宋"/>
          <w:sz w:val="32"/>
          <w:szCs w:val="32"/>
        </w:rPr>
        <w:t>40</w:t>
      </w:r>
      <w:r>
        <w:rPr>
          <w:rFonts w:ascii="仿宋" w:hAnsi="仿宋" w:eastAsia="仿宋" w:cs="仿宋"/>
          <w:sz w:val="32"/>
        </w:rPr>
        <w:t>万元，</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36.74万元，分值10，得分9.19</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2)免费赠药例数，目标值</w:t>
      </w:r>
      <w:r>
        <w:rPr>
          <w:rFonts w:hint="eastAsia" w:ascii="仿宋" w:hAnsi="仿宋" w:eastAsia="仿宋"/>
          <w:sz w:val="32"/>
          <w:szCs w:val="32"/>
          <w:lang w:val="en-US" w:eastAsia="zh-CN"/>
        </w:rPr>
        <w:t>大于等于</w:t>
      </w:r>
      <w:r>
        <w:rPr>
          <w:rFonts w:hint="eastAsia" w:ascii="仿宋" w:hAnsi="仿宋" w:eastAsia="仿宋"/>
          <w:sz w:val="32"/>
          <w:szCs w:val="32"/>
        </w:rPr>
        <w:t>80</w:t>
      </w:r>
      <w:r>
        <w:rPr>
          <w:rFonts w:ascii="仿宋" w:hAnsi="仿宋" w:eastAsia="仿宋" w:cs="仿宋"/>
          <w:sz w:val="32"/>
        </w:rPr>
        <w:t>例，</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80例，分值5，得分5</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2、质量指标</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3)药品合格率，目标值</w:t>
      </w:r>
      <w:r>
        <w:rPr>
          <w:rFonts w:hint="eastAsia" w:ascii="仿宋" w:hAnsi="仿宋" w:eastAsia="仿宋"/>
          <w:sz w:val="32"/>
          <w:szCs w:val="32"/>
          <w:lang w:val="en-US" w:eastAsia="zh-CN"/>
        </w:rPr>
        <w:t>等于</w:t>
      </w:r>
      <w:r>
        <w:rPr>
          <w:rFonts w:hint="eastAsia" w:ascii="仿宋" w:hAnsi="仿宋" w:eastAsia="仿宋"/>
          <w:sz w:val="32"/>
          <w:szCs w:val="32"/>
        </w:rPr>
        <w:t>100</w:t>
      </w:r>
      <w:r>
        <w:rPr>
          <w:rFonts w:ascii="仿宋" w:hAnsi="仿宋" w:eastAsia="仿宋" w:cs="仿宋"/>
          <w:sz w:val="32"/>
        </w:rPr>
        <w:t>百分比，</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100百分比，分值10，得分10</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4)赠药人群符合要求率，目标值</w:t>
      </w:r>
      <w:r>
        <w:rPr>
          <w:rFonts w:hint="eastAsia" w:ascii="仿宋" w:hAnsi="仿宋" w:eastAsia="仿宋"/>
          <w:sz w:val="32"/>
          <w:szCs w:val="32"/>
          <w:lang w:val="en-US" w:eastAsia="zh-CN"/>
        </w:rPr>
        <w:t>等于</w:t>
      </w:r>
      <w:r>
        <w:rPr>
          <w:rFonts w:hint="eastAsia" w:ascii="仿宋" w:hAnsi="仿宋" w:eastAsia="仿宋"/>
          <w:sz w:val="32"/>
          <w:szCs w:val="32"/>
        </w:rPr>
        <w:t>100</w:t>
      </w:r>
      <w:r>
        <w:rPr>
          <w:rFonts w:ascii="仿宋" w:hAnsi="仿宋" w:eastAsia="仿宋" w:cs="仿宋"/>
          <w:sz w:val="32"/>
        </w:rPr>
        <w:t>百分比，</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100百分比，分值5，得分5</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3、时效指标</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5)赠药时限，目标值</w:t>
      </w:r>
      <w:r>
        <w:rPr>
          <w:rFonts w:hint="eastAsia" w:ascii="仿宋" w:hAnsi="仿宋" w:eastAsia="仿宋"/>
          <w:sz w:val="32"/>
          <w:szCs w:val="32"/>
          <w:lang w:val="en-US" w:eastAsia="zh-CN"/>
        </w:rPr>
        <w:t>小于等于</w:t>
      </w:r>
      <w:r>
        <w:rPr>
          <w:rFonts w:hint="eastAsia" w:ascii="仿宋" w:hAnsi="仿宋" w:eastAsia="仿宋"/>
          <w:sz w:val="32"/>
          <w:szCs w:val="32"/>
        </w:rPr>
        <w:t>1</w:t>
      </w:r>
      <w:r>
        <w:rPr>
          <w:rFonts w:ascii="仿宋" w:hAnsi="仿宋" w:eastAsia="仿宋" w:cs="仿宋"/>
          <w:sz w:val="32"/>
        </w:rPr>
        <w:t>年，</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1年，分值5，得分5</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6)赠药及时率，目标值</w:t>
      </w:r>
      <w:r>
        <w:rPr>
          <w:rFonts w:hint="eastAsia" w:ascii="仿宋" w:hAnsi="仿宋" w:eastAsia="仿宋"/>
          <w:sz w:val="32"/>
          <w:szCs w:val="32"/>
          <w:lang w:val="en-US" w:eastAsia="zh-CN"/>
        </w:rPr>
        <w:t>大于等于</w:t>
      </w:r>
      <w:r>
        <w:rPr>
          <w:rFonts w:hint="eastAsia" w:ascii="仿宋" w:hAnsi="仿宋" w:eastAsia="仿宋"/>
          <w:sz w:val="32"/>
          <w:szCs w:val="32"/>
        </w:rPr>
        <w:t>90</w:t>
      </w:r>
      <w:r>
        <w:rPr>
          <w:rFonts w:ascii="仿宋" w:hAnsi="仿宋" w:eastAsia="仿宋" w:cs="仿宋"/>
          <w:sz w:val="32"/>
        </w:rPr>
        <w:t>百分比，</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85百分比，分值5，得分4.72</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4、成本指标</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7)赠药成本，目标值</w:t>
      </w:r>
      <w:r>
        <w:rPr>
          <w:rFonts w:hint="eastAsia" w:ascii="仿宋" w:hAnsi="仿宋" w:eastAsia="仿宋"/>
          <w:sz w:val="32"/>
          <w:szCs w:val="32"/>
          <w:lang w:val="en-US" w:eastAsia="zh-CN"/>
        </w:rPr>
        <w:t>小于等于</w:t>
      </w:r>
      <w:r>
        <w:rPr>
          <w:rFonts w:hint="eastAsia" w:ascii="仿宋" w:hAnsi="仿宋" w:eastAsia="仿宋"/>
          <w:sz w:val="32"/>
          <w:szCs w:val="32"/>
        </w:rPr>
        <w:t>40</w:t>
      </w:r>
      <w:r>
        <w:rPr>
          <w:rFonts w:ascii="仿宋" w:hAnsi="仿宋" w:eastAsia="仿宋" w:cs="仿宋"/>
          <w:sz w:val="32"/>
        </w:rPr>
        <w:t>万元，</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36.74万元，分值5，得分4.59</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8)成本节约率，目标值</w:t>
      </w:r>
      <w:r>
        <w:rPr>
          <w:rFonts w:hint="eastAsia" w:ascii="仿宋" w:hAnsi="仿宋" w:eastAsia="仿宋"/>
          <w:sz w:val="32"/>
          <w:szCs w:val="32"/>
          <w:lang w:val="en-US" w:eastAsia="zh-CN"/>
        </w:rPr>
        <w:t>大于等于</w:t>
      </w:r>
      <w:r>
        <w:rPr>
          <w:rFonts w:hint="eastAsia" w:ascii="仿宋" w:hAnsi="仿宋" w:eastAsia="仿宋"/>
          <w:sz w:val="32"/>
          <w:szCs w:val="32"/>
        </w:rPr>
        <w:t>1</w:t>
      </w:r>
      <w:r>
        <w:rPr>
          <w:rFonts w:ascii="仿宋" w:hAnsi="仿宋" w:eastAsia="仿宋" w:cs="仿宋"/>
          <w:sz w:val="32"/>
        </w:rPr>
        <w:t>百分比，</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0百分比，分值5，得分0</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(二) 效益指标完成情况</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5、经济效益</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6、社会效益</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9)提高贫困精神障碍患者服药率，目标值</w:t>
      </w:r>
      <w:r>
        <w:rPr>
          <w:rFonts w:hint="eastAsia" w:ascii="仿宋" w:hAnsi="仿宋" w:eastAsia="仿宋"/>
          <w:sz w:val="32"/>
          <w:szCs w:val="32"/>
        </w:rPr>
        <w:t>有所提升</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有所提升，分值15，得分15</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7、生态效益</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8、可持续影响</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10)通过免费赠药提高精神障碍患者服药率降低其对社会的危害，目标值</w:t>
      </w:r>
      <w:r>
        <w:rPr>
          <w:rFonts w:hint="eastAsia" w:ascii="仿宋" w:hAnsi="仿宋" w:eastAsia="仿宋"/>
          <w:sz w:val="32"/>
          <w:szCs w:val="32"/>
        </w:rPr>
        <w:t>有所提升</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有所提升，分值15，得分15</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(三) 满意度指标完成情况</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9、服务对象满意度</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11)患者满意度，目标值</w:t>
      </w:r>
      <w:r>
        <w:rPr>
          <w:rFonts w:hint="eastAsia" w:ascii="仿宋" w:hAnsi="仿宋" w:eastAsia="仿宋"/>
          <w:sz w:val="32"/>
          <w:szCs w:val="32"/>
          <w:lang w:val="en-US" w:eastAsia="zh-CN"/>
        </w:rPr>
        <w:t>大于等于</w:t>
      </w:r>
      <w:r>
        <w:rPr>
          <w:rFonts w:hint="eastAsia" w:ascii="仿宋" w:hAnsi="仿宋" w:eastAsia="仿宋"/>
          <w:sz w:val="32"/>
          <w:szCs w:val="32"/>
        </w:rPr>
        <w:t>95</w:t>
      </w:r>
      <w:r>
        <w:rPr>
          <w:rFonts w:ascii="仿宋" w:hAnsi="仿宋" w:eastAsia="仿宋" w:cs="仿宋"/>
          <w:sz w:val="32"/>
        </w:rPr>
        <w:t>百分比，</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95百分比，分值10，得分10</w:t>
      </w:r>
      <w:r>
        <w:rPr>
          <w:rFonts w:hint="eastAsia" w:ascii="仿宋" w:hAnsi="仿宋" w:eastAsia="仿宋"/>
          <w:sz w:val="32"/>
          <w:szCs w:val="32"/>
        </w:rPr>
        <w:t>。</w:t>
      </w:r>
    </w:p>
    <w:p>
      <w:pPr>
        <w:spacing w:line="620" w:lineRule="exact"/>
        <w:ind w:left="480" w:leftChars="200" w:firstLine="0" w:firstLineChars="0"/>
        <w:rPr>
          <w:rFonts w:hint="default" w:ascii="仿宋" w:hAnsi="仿宋" w:eastAsia="仿宋"/>
          <w:sz w:val="32"/>
          <w:szCs w:val="32"/>
          <w:lang w:val="en-US"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四</w:t>
      </w:r>
      <w:r>
        <w:rPr>
          <w:rFonts w:hint="eastAsia" w:ascii="仿宋" w:hAnsi="仿宋" w:eastAsia="仿宋"/>
          <w:sz w:val="32"/>
          <w:szCs w:val="32"/>
          <w:lang w:eastAsia="zh-CN"/>
        </w:rPr>
        <w:t>）</w:t>
      </w:r>
      <w:r>
        <w:rPr>
          <w:rFonts w:hint="eastAsia" w:ascii="仿宋" w:hAnsi="仿宋" w:eastAsia="仿宋"/>
          <w:sz w:val="32"/>
          <w:szCs w:val="32"/>
          <w:lang w:val="en-US" w:eastAsia="zh-CN"/>
        </w:rPr>
        <w:t>自评得分情况</w:t>
      </w:r>
    </w:p>
    <w:p>
      <w:pPr>
        <w:spacing w:line="620" w:lineRule="exact"/>
        <w:rPr>
          <w:rFonts w:hint="eastAsia" w:ascii="仿宋" w:hAnsi="仿宋" w:eastAsia="仿宋_GB2312"/>
          <w:sz w:val="32"/>
          <w:szCs w:val="32"/>
          <w:lang w:eastAsia="zh-CN"/>
        </w:rPr>
      </w:pPr>
      <w:r>
        <w:rPr>
          <w:rFonts w:hint="eastAsia" w:ascii="仿宋_GB2312" w:hAnsi="仿宋_GB2312" w:eastAsia="仿宋_GB2312"/>
          <w:sz w:val="32"/>
          <w:szCs w:val="32"/>
        </w:rPr>
        <w:t>本项目绩效自评得分</w:t>
      </w:r>
      <w:r>
        <w:rPr>
          <w:rFonts w:ascii="仿宋_GB2312" w:hAnsi="仿宋_GB2312" w:eastAsia="仿宋_GB2312" w:cs="仿宋_GB2312"/>
          <w:sz w:val="32"/>
        </w:rPr>
        <w:t>93.5分，等级为A</w:t>
      </w:r>
      <w:r>
        <w:rPr>
          <w:rFonts w:hint="eastAsia" w:ascii="仿宋_GB2312" w:hAnsi="仿宋_GB2312" w:eastAsia="仿宋_GB2312"/>
          <w:sz w:val="32"/>
          <w:szCs w:val="32"/>
          <w:lang w:eastAsia="zh-CN"/>
        </w:rPr>
        <w:t>。</w:t>
      </w:r>
    </w:p>
    <w:p>
      <w:pPr>
        <w:numPr>
          <w:ilvl w:val="0"/>
          <w:numId w:val="4"/>
        </w:numPr>
        <w:spacing w:line="240" w:lineRule="auto"/>
        <w:ind w:left="0" w:firstLine="0" w:firstLineChars="0"/>
        <w:rPr>
          <w:rFonts w:ascii="仿宋" w:hAnsi="仿宋" w:eastAsia="仿宋"/>
          <w:b/>
          <w:sz w:val="32"/>
          <w:szCs w:val="32"/>
        </w:rPr>
      </w:pPr>
      <w:r>
        <w:rPr>
          <w:rFonts w:hint="eastAsia" w:ascii="仿宋" w:hAnsi="仿宋" w:eastAsia="仿宋"/>
          <w:b/>
          <w:sz w:val="32"/>
          <w:szCs w:val="32"/>
        </w:rPr>
        <w:t>存在</w:t>
      </w:r>
      <w:r>
        <w:rPr>
          <w:rFonts w:hint="eastAsia" w:ascii="仿宋" w:hAnsi="仿宋" w:eastAsia="仿宋"/>
          <w:b/>
          <w:sz w:val="32"/>
          <w:szCs w:val="32"/>
          <w:lang w:val="en-US" w:eastAsia="zh-CN"/>
        </w:rPr>
        <w:t>问题</w:t>
      </w:r>
    </w:p>
    <w:p>
      <w:pPr>
        <w:numPr>
          <w:ilvl w:val="0"/>
          <w:numId w:val="7"/>
        </w:numPr>
        <w:spacing w:line="240" w:lineRule="auto"/>
        <w:ind w:left="240" w:leftChars="0" w:firstLine="0" w:firstLineChars="0"/>
        <w:rPr>
          <w:rFonts w:ascii="仿宋" w:hAnsi="仿宋" w:eastAsia="仿宋"/>
          <w:b w:val="0"/>
          <w:bCs/>
          <w:sz w:val="32"/>
          <w:szCs w:val="32"/>
        </w:rPr>
      </w:pPr>
      <w:r>
        <w:rPr>
          <w:rFonts w:hint="eastAsia" w:ascii="仿宋" w:hAnsi="仿宋" w:eastAsia="仿宋"/>
          <w:b w:val="0"/>
          <w:bCs/>
          <w:sz w:val="32"/>
          <w:szCs w:val="32"/>
          <w:lang w:val="en-US" w:eastAsia="zh-CN"/>
        </w:rPr>
        <w:t>项目立项、实施存在问题。</w:t>
      </w:r>
    </w:p>
    <w:p>
      <w:pPr>
        <w:pStyle w:val="2"/>
        <w:rPr>
          <w:rFonts w:hint="default"/>
          <w:lang w:val="en-US"/>
        </w:rPr>
      </w:pPr>
      <w:r>
        <w:rPr>
          <w:rFonts w:hint="eastAsia" w:ascii="仿宋" w:hAnsi="仿宋" w:eastAsia="仿宋"/>
          <w:b w:val="0"/>
          <w:bCs/>
          <w:sz w:val="32"/>
          <w:szCs w:val="32"/>
          <w:lang w:val="en-US" w:eastAsia="zh-CN"/>
        </w:rPr>
        <w:t>无</w:t>
      </w:r>
    </w:p>
    <w:p>
      <w:pPr>
        <w:numPr>
          <w:ilvl w:val="0"/>
          <w:numId w:val="7"/>
        </w:numPr>
        <w:spacing w:line="240" w:lineRule="auto"/>
        <w:ind w:left="240" w:leftChars="0" w:firstLine="0" w:firstLineChars="0"/>
        <w:rPr>
          <w:rFonts w:hint="default" w:ascii="仿宋" w:hAnsi="仿宋" w:eastAsia="仿宋"/>
          <w:b/>
          <w:sz w:val="32"/>
          <w:szCs w:val="32"/>
          <w:lang w:val="en-US" w:eastAsia="zh-CN"/>
        </w:rPr>
      </w:pPr>
      <w:r>
        <w:rPr>
          <w:rFonts w:hint="eastAsia" w:ascii="仿宋" w:hAnsi="仿宋" w:eastAsia="仿宋"/>
          <w:b w:val="0"/>
          <w:bCs/>
          <w:sz w:val="32"/>
          <w:szCs w:val="32"/>
          <w:lang w:val="en-US" w:eastAsia="zh-CN"/>
        </w:rPr>
        <w:t>资金管理使用存在问题</w:t>
      </w:r>
    </w:p>
    <w:p>
      <w:pPr>
        <w:pStyle w:val="2"/>
        <w:rPr>
          <w:rFonts w:hint="default"/>
          <w:lang w:val="en-US" w:eastAsia="zh-CN"/>
        </w:rPr>
      </w:pPr>
      <w:r>
        <w:rPr>
          <w:rFonts w:hint="eastAsia" w:ascii="仿宋" w:hAnsi="仿宋" w:eastAsia="仿宋"/>
          <w:b w:val="0"/>
          <w:bCs/>
          <w:sz w:val="32"/>
          <w:szCs w:val="32"/>
          <w:lang w:val="en-US" w:eastAsia="zh-CN"/>
        </w:rPr>
        <w:t>无</w:t>
      </w:r>
    </w:p>
    <w:p>
      <w:pPr>
        <w:spacing w:line="240" w:lineRule="auto"/>
        <w:ind w:firstLine="0" w:firstLineChars="0"/>
        <w:rPr>
          <w:rFonts w:hint="eastAsia" w:ascii="仿宋" w:hAnsi="仿宋" w:eastAsia="仿宋"/>
          <w:b/>
          <w:sz w:val="32"/>
          <w:szCs w:val="32"/>
          <w:lang w:val="en-US" w:eastAsia="zh-CN"/>
        </w:rPr>
      </w:pPr>
      <w:r>
        <w:rPr>
          <w:rFonts w:hint="eastAsia" w:ascii="仿宋" w:hAnsi="仿宋" w:eastAsia="仿宋"/>
          <w:b/>
          <w:sz w:val="32"/>
          <w:szCs w:val="32"/>
        </w:rPr>
        <w:t>五、其他需要说明的</w:t>
      </w:r>
      <w:r>
        <w:rPr>
          <w:rFonts w:hint="eastAsia" w:ascii="仿宋" w:hAnsi="仿宋" w:eastAsia="仿宋"/>
          <w:b/>
          <w:sz w:val="32"/>
          <w:szCs w:val="32"/>
          <w:lang w:val="en-US" w:eastAsia="zh-CN"/>
        </w:rPr>
        <w:t>问题</w:t>
      </w:r>
    </w:p>
    <w:p>
      <w:pPr>
        <w:keepNext w:val="0"/>
        <w:keepLines w:val="0"/>
        <w:widowControl/>
        <w:suppressLineNumbers w:val="0"/>
        <w:ind w:firstLine="604" w:firstLineChars="200"/>
        <w:jc w:val="left"/>
        <w:rPr>
          <w:rFonts w:hint="default" w:ascii="仿宋" w:hAnsi="仿宋" w:eastAsia="仿宋" w:cs="仿宋"/>
          <w:spacing w:val="1"/>
          <w:sz w:val="30"/>
          <w:szCs w:val="30"/>
        </w:rPr>
      </w:pPr>
      <w:r>
        <w:rPr>
          <w:rFonts w:hint="eastAsia" w:ascii="仿宋" w:hAnsi="仿宋" w:eastAsia="仿宋" w:cs="仿宋"/>
          <w:spacing w:val="1"/>
          <w:sz w:val="30"/>
          <w:szCs w:val="30"/>
          <w:lang w:val="en-US" w:eastAsia="zh-CN"/>
        </w:rPr>
        <w:t>一.</w:t>
      </w:r>
      <w:r>
        <w:rPr>
          <w:rFonts w:hint="default" w:ascii="仿宋" w:hAnsi="仿宋" w:eastAsia="仿宋" w:cs="仿宋"/>
          <w:spacing w:val="1"/>
          <w:sz w:val="30"/>
          <w:szCs w:val="30"/>
        </w:rPr>
        <w:t>根据此次项目支出绩效评价中发现的问题，提出整改措施，对相应问题整改落实到位。</w:t>
      </w:r>
    </w:p>
    <w:p>
      <w:pPr>
        <w:keepNext w:val="0"/>
        <w:keepLines w:val="0"/>
        <w:widowControl/>
        <w:suppressLineNumbers w:val="0"/>
        <w:ind w:firstLine="604" w:firstLineChars="200"/>
        <w:jc w:val="left"/>
        <w:rPr>
          <w:rFonts w:hint="default" w:ascii="仿宋" w:hAnsi="仿宋" w:eastAsia="仿宋" w:cs="仿宋"/>
          <w:spacing w:val="1"/>
          <w:sz w:val="30"/>
          <w:szCs w:val="30"/>
        </w:rPr>
      </w:pPr>
      <w:r>
        <w:rPr>
          <w:rFonts w:hint="eastAsia" w:ascii="仿宋" w:hAnsi="仿宋" w:eastAsia="仿宋" w:cs="仿宋"/>
          <w:spacing w:val="1"/>
          <w:sz w:val="30"/>
          <w:szCs w:val="30"/>
          <w:lang w:val="en-US" w:eastAsia="zh-CN"/>
        </w:rPr>
        <w:t>二.</w:t>
      </w:r>
      <w:r>
        <w:rPr>
          <w:rFonts w:hint="default" w:ascii="仿宋" w:hAnsi="仿宋" w:eastAsia="仿宋" w:cs="仿宋"/>
          <w:spacing w:val="1"/>
          <w:sz w:val="30"/>
          <w:szCs w:val="30"/>
        </w:rPr>
        <w:t>持续努力抓好绩效目标管理工作，在申报项目资金是应编制科学合理的绩效目标，全面考虑可能影响项目绩效的原因，进一步做到绩效目标明确、细化、量化，从而有利于加强资金管理的落实和具体化。</w:t>
      </w:r>
    </w:p>
    <w:p>
      <w:pPr>
        <w:keepNext w:val="0"/>
        <w:keepLines w:val="0"/>
        <w:widowControl/>
        <w:suppressLineNumbers w:val="0"/>
        <w:ind w:firstLine="604" w:firstLineChars="200"/>
        <w:jc w:val="left"/>
        <w:rPr>
          <w:rFonts w:ascii="仿宋" w:hAnsi="仿宋" w:eastAsia="仿宋" w:cs="仿宋"/>
          <w:sz w:val="30"/>
          <w:szCs w:val="30"/>
        </w:rPr>
      </w:pPr>
      <w:r>
        <w:rPr>
          <w:rFonts w:hint="eastAsia" w:ascii="仿宋" w:hAnsi="仿宋" w:eastAsia="仿宋" w:cs="仿宋"/>
          <w:spacing w:val="1"/>
          <w:sz w:val="30"/>
          <w:szCs w:val="30"/>
          <w:lang w:val="en-US" w:eastAsia="zh-CN"/>
        </w:rPr>
        <w:t>三.</w:t>
      </w:r>
      <w:r>
        <w:rPr>
          <w:rFonts w:hint="default" w:ascii="仿宋" w:hAnsi="仿宋" w:eastAsia="仿宋" w:cs="仿宋"/>
          <w:spacing w:val="1"/>
          <w:sz w:val="30"/>
          <w:szCs w:val="30"/>
        </w:rPr>
        <w:t>项目实施过程中持续高度重视绩效目标，加强领导，精细组织实施，做到目标明确。职责分明、责任到人，切实提高资金使用效率。</w:t>
      </w:r>
    </w:p>
    <w:p>
      <w:pPr>
        <w:spacing w:line="620" w:lineRule="exact"/>
        <w:ind w:firstLine="880"/>
        <w:jc w:val="center"/>
        <w:rPr>
          <w:rFonts w:ascii="方正小标宋简体" w:eastAsia="方正小标宋简体"/>
          <w:sz w:val="44"/>
          <w:szCs w:val="44"/>
        </w:rPr>
      </w:pPr>
    </w:p>
    <w:p>
      <w:pPr>
        <w:spacing w:line="620" w:lineRule="exact"/>
        <w:ind w:left="590" w:firstLine="643"/>
        <w:rPr>
          <w:rFonts w:ascii="仿宋" w:hAnsi="仿宋" w:eastAsia="仿宋"/>
          <w:b/>
          <w:sz w:val="32"/>
          <w:szCs w:val="32"/>
        </w:rPr>
      </w:pPr>
    </w:p>
    <w:p/>
    <w:p>
      <w:pPr>
        <w:keepNext w:val="0"/>
        <w:keepLines w:val="0"/>
        <w:widowControl/>
        <w:suppressLineNumbers w:val="0"/>
        <w:spacing w:before="0" w:beforeAutospacing="1" w:after="0" w:afterAutospacing="1" w:line="560" w:lineRule="atLeast"/>
        <w:ind w:left="0" w:right="0" w:firstLine="640"/>
        <w:jc w:val="both"/>
      </w:pPr>
    </w:p>
    <w:p>
      <w:pPr>
        <w:keepNext w:val="0"/>
        <w:keepLines w:val="0"/>
        <w:widowControl/>
        <w:suppressLineNumbers w:val="0"/>
        <w:spacing w:before="0" w:beforeAutospacing="1" w:after="0" w:afterAutospacing="1" w:line="560" w:lineRule="atLeast"/>
        <w:ind w:left="0" w:right="0" w:firstLine="640"/>
        <w:jc w:val="both"/>
      </w:pPr>
      <w:r>
        <w:rPr>
          <w:rFonts w:hint="default" w:ascii="Times New Roman" w:hAnsi="Times New Roman" w:cs="Times New Roman"/>
          <w:sz w:val="32"/>
          <w:szCs w:val="32"/>
          <w:lang w:val="en-US"/>
        </w:rPr>
        <w:t> </w:t>
      </w:r>
    </w:p>
    <w:p>
      <w:pPr>
        <w:pStyle w:val="5"/>
        <w:keepNext/>
        <w:keepLines w:val="0"/>
        <w:widowControl/>
        <w:suppressLineNumbers w:val="0"/>
        <w:spacing w:line="360" w:lineRule="auto"/>
        <w:jc w:val="center"/>
      </w:pPr>
      <w:r>
        <w:rPr>
          <w:rFonts w:hint="eastAsia" w:ascii="方正小标宋简体" w:hAnsi="方正小标宋简体" w:eastAsia="方正小标宋简体" w:cs="方正小标宋简体"/>
          <w:sz w:val="36"/>
          <w:szCs w:val="36"/>
        </w:rPr>
        <w:t>第三部分</w:t>
      </w:r>
      <w:r>
        <w:rPr>
          <w:rFonts w:hint="eastAsia" w:ascii="方正小标宋简体" w:hAnsi="方正小标宋简体" w:eastAsia="方正小标宋简体" w:cs="方正小标宋简体"/>
          <w:sz w:val="36"/>
          <w:szCs w:val="36"/>
          <w:lang w:val="en-US"/>
        </w:rPr>
        <w:t xml:space="preserve">  </w:t>
      </w:r>
      <w:r>
        <w:rPr>
          <w:rFonts w:hint="eastAsia" w:ascii="方正小标宋简体" w:hAnsi="方正小标宋简体" w:eastAsia="方正小标宋简体" w:cs="方正小标宋简体"/>
          <w:sz w:val="36"/>
          <w:szCs w:val="36"/>
        </w:rPr>
        <w:t>名词解释</w:t>
      </w:r>
    </w:p>
    <w:p>
      <w:pPr>
        <w:keepNext w:val="0"/>
        <w:keepLines w:val="0"/>
        <w:widowControl/>
        <w:suppressLineNumbers w:val="0"/>
        <w:spacing w:before="0" w:beforeAutospacing="1" w:after="0" w:afterAutospacing="1" w:line="560" w:lineRule="atLeast"/>
        <w:ind w:left="0" w:right="0" w:firstLine="643"/>
        <w:jc w:val="both"/>
      </w:pPr>
      <w:r>
        <w:rPr>
          <w:b/>
          <w:bCs/>
          <w:sz w:val="32"/>
          <w:szCs w:val="32"/>
        </w:rPr>
        <w:t>一、财政拨款收入：</w:t>
      </w:r>
      <w:r>
        <w:rPr>
          <w:sz w:val="32"/>
          <w:szCs w:val="32"/>
        </w:rPr>
        <w:t>从同级财政部门取得的各类财政拨款，包括一般公共预算财政拨款、政府性基金预算财政拨款、国有资本经营预算财政拨款。</w:t>
      </w:r>
    </w:p>
    <w:p>
      <w:pPr>
        <w:keepNext w:val="0"/>
        <w:keepLines w:val="0"/>
        <w:widowControl/>
        <w:suppressLineNumbers w:val="0"/>
        <w:spacing w:before="0" w:beforeAutospacing="1" w:after="0" w:afterAutospacing="1" w:line="560" w:lineRule="atLeast"/>
        <w:ind w:left="0" w:right="0" w:firstLine="643"/>
        <w:jc w:val="both"/>
      </w:pPr>
      <w:r>
        <w:rPr>
          <w:rFonts w:hint="eastAsia"/>
          <w:b/>
          <w:bCs/>
          <w:sz w:val="32"/>
          <w:szCs w:val="32"/>
          <w:lang w:val="en-US" w:eastAsia="zh-CN"/>
        </w:rPr>
        <w:t>二</w:t>
      </w:r>
      <w:r>
        <w:rPr>
          <w:b/>
          <w:bCs/>
          <w:sz w:val="32"/>
          <w:szCs w:val="32"/>
        </w:rPr>
        <w:t>、事业收入：</w:t>
      </w:r>
      <w:r>
        <w:rPr>
          <w:sz w:val="32"/>
          <w:szCs w:val="32"/>
        </w:rPr>
        <w:t>指事业单位开展专业业务活动及其辅助活动取得的收入。</w:t>
      </w:r>
    </w:p>
    <w:p>
      <w:pPr>
        <w:keepNext w:val="0"/>
        <w:keepLines w:val="0"/>
        <w:widowControl/>
        <w:suppressLineNumbers w:val="0"/>
        <w:spacing w:before="0" w:beforeAutospacing="1" w:after="0" w:afterAutospacing="1" w:line="560" w:lineRule="atLeast"/>
        <w:ind w:left="0" w:right="0" w:firstLine="643"/>
        <w:jc w:val="both"/>
      </w:pPr>
      <w:r>
        <w:rPr>
          <w:rFonts w:hint="eastAsia"/>
          <w:b/>
          <w:bCs/>
          <w:sz w:val="32"/>
          <w:szCs w:val="32"/>
          <w:lang w:val="en-US" w:eastAsia="zh-CN"/>
        </w:rPr>
        <w:t>三</w:t>
      </w:r>
      <w:r>
        <w:rPr>
          <w:b/>
          <w:bCs/>
          <w:sz w:val="32"/>
          <w:szCs w:val="32"/>
        </w:rPr>
        <w:t>、其他收入：</w:t>
      </w:r>
      <w:r>
        <w:rPr>
          <w:sz w:val="32"/>
          <w:szCs w:val="32"/>
        </w:rPr>
        <w:t>取得的除上述</w:t>
      </w:r>
      <w:r>
        <w:rPr>
          <w:rFonts w:hint="default" w:ascii="Times New Roman" w:hAnsi="Times New Roman" w:cs="Times New Roman"/>
          <w:sz w:val="32"/>
          <w:szCs w:val="32"/>
          <w:lang w:val="en-US"/>
        </w:rPr>
        <w:t>“</w:t>
      </w:r>
      <w:r>
        <w:rPr>
          <w:sz w:val="32"/>
          <w:szCs w:val="32"/>
        </w:rPr>
        <w:t>财政拨款收入</w:t>
      </w:r>
      <w:r>
        <w:rPr>
          <w:rFonts w:hint="default" w:ascii="Times New Roman" w:hAnsi="Times New Roman" w:cs="Times New Roman"/>
          <w:sz w:val="32"/>
          <w:szCs w:val="32"/>
          <w:lang w:val="en-US"/>
        </w:rPr>
        <w:t>”</w:t>
      </w:r>
      <w:r>
        <w:rPr>
          <w:sz w:val="32"/>
          <w:szCs w:val="32"/>
        </w:rPr>
        <w:t>、</w:t>
      </w:r>
      <w:r>
        <w:rPr>
          <w:rFonts w:hint="default" w:ascii="Times New Roman" w:hAnsi="Times New Roman" w:cs="Times New Roman"/>
          <w:sz w:val="32"/>
          <w:szCs w:val="32"/>
          <w:lang w:val="en-US"/>
        </w:rPr>
        <w:t>“</w:t>
      </w:r>
      <w:r>
        <w:rPr>
          <w:sz w:val="32"/>
          <w:szCs w:val="32"/>
        </w:rPr>
        <w:t>事业收入</w:t>
      </w:r>
      <w:r>
        <w:rPr>
          <w:rFonts w:hint="default" w:ascii="Times New Roman" w:hAnsi="Times New Roman" w:cs="Times New Roman"/>
          <w:sz w:val="32"/>
          <w:szCs w:val="32"/>
          <w:lang w:val="en-US"/>
        </w:rPr>
        <w:t>”</w:t>
      </w:r>
      <w:r>
        <w:rPr>
          <w:sz w:val="32"/>
          <w:szCs w:val="32"/>
        </w:rPr>
        <w:t>等以外的各项收入。</w:t>
      </w:r>
    </w:p>
    <w:p>
      <w:pPr>
        <w:keepNext w:val="0"/>
        <w:keepLines w:val="0"/>
        <w:widowControl/>
        <w:suppressLineNumbers w:val="0"/>
        <w:spacing w:before="0" w:beforeAutospacing="1" w:after="0" w:afterAutospacing="1" w:line="560" w:lineRule="atLeast"/>
        <w:ind w:left="0" w:right="0" w:firstLine="643"/>
        <w:jc w:val="both"/>
      </w:pPr>
      <w:r>
        <w:rPr>
          <w:rFonts w:hint="eastAsia"/>
          <w:b/>
          <w:bCs/>
          <w:sz w:val="32"/>
          <w:szCs w:val="32"/>
          <w:lang w:val="en-US" w:eastAsia="zh-CN"/>
        </w:rPr>
        <w:t>四</w:t>
      </w:r>
      <w:r>
        <w:rPr>
          <w:b/>
          <w:bCs/>
          <w:sz w:val="32"/>
          <w:szCs w:val="32"/>
        </w:rPr>
        <w:t>、使用非财政拨款结余：</w:t>
      </w:r>
      <w:r>
        <w:rPr>
          <w:sz w:val="32"/>
          <w:szCs w:val="32"/>
        </w:rPr>
        <w:t>指事业单位按照预算管理要求使用非财政拨款结余弥补当年收支差额的数额。</w:t>
      </w:r>
    </w:p>
    <w:p>
      <w:pPr>
        <w:keepNext w:val="0"/>
        <w:keepLines w:val="0"/>
        <w:widowControl/>
        <w:suppressLineNumbers w:val="0"/>
        <w:spacing w:before="0" w:beforeAutospacing="1" w:after="0" w:afterAutospacing="1" w:line="560" w:lineRule="atLeast"/>
        <w:ind w:left="0" w:right="0" w:firstLine="643"/>
        <w:jc w:val="both"/>
      </w:pPr>
      <w:r>
        <w:rPr>
          <w:rFonts w:hint="eastAsia"/>
          <w:b/>
          <w:bCs/>
          <w:sz w:val="32"/>
          <w:szCs w:val="32"/>
          <w:lang w:val="en-US" w:eastAsia="zh-CN"/>
        </w:rPr>
        <w:t>五</w:t>
      </w:r>
      <w:r>
        <w:rPr>
          <w:b/>
          <w:bCs/>
          <w:sz w:val="32"/>
          <w:szCs w:val="32"/>
        </w:rPr>
        <w:t>、年初结转和结余：</w:t>
      </w:r>
      <w:r>
        <w:rPr>
          <w:sz w:val="32"/>
          <w:szCs w:val="32"/>
        </w:rPr>
        <w:t>指单位上年结转本年使用的基本支出结转、项目支出结转和结余、经营结余。</w:t>
      </w:r>
    </w:p>
    <w:p>
      <w:pPr>
        <w:keepNext w:val="0"/>
        <w:keepLines w:val="0"/>
        <w:widowControl/>
        <w:suppressLineNumbers w:val="0"/>
        <w:spacing w:before="0" w:beforeAutospacing="1" w:after="0" w:afterAutospacing="1" w:line="560" w:lineRule="atLeast"/>
        <w:ind w:left="0" w:right="0" w:firstLine="643"/>
        <w:jc w:val="both"/>
      </w:pPr>
      <w:r>
        <w:rPr>
          <w:rFonts w:hint="eastAsia"/>
          <w:b/>
          <w:bCs/>
          <w:sz w:val="32"/>
          <w:szCs w:val="32"/>
          <w:lang w:val="en-US" w:eastAsia="zh-CN"/>
        </w:rPr>
        <w:t>六</w:t>
      </w:r>
      <w:r>
        <w:rPr>
          <w:b/>
          <w:bCs/>
          <w:sz w:val="32"/>
          <w:szCs w:val="32"/>
        </w:rPr>
        <w:t>、结余分配：</w:t>
      </w:r>
      <w:r>
        <w:rPr>
          <w:sz w:val="32"/>
          <w:szCs w:val="32"/>
        </w:rPr>
        <w:t>指事业单位按规定缴纳的所得税以及从非财政拨款结余中提取各类结余的情况。</w:t>
      </w:r>
    </w:p>
    <w:p>
      <w:pPr>
        <w:keepNext w:val="0"/>
        <w:keepLines w:val="0"/>
        <w:widowControl/>
        <w:suppressLineNumbers w:val="0"/>
        <w:spacing w:before="0" w:beforeAutospacing="1" w:after="0" w:afterAutospacing="1" w:line="560" w:lineRule="atLeast"/>
        <w:ind w:left="0" w:right="0" w:firstLine="643"/>
        <w:jc w:val="both"/>
      </w:pPr>
      <w:r>
        <w:rPr>
          <w:rFonts w:hint="eastAsia"/>
          <w:b/>
          <w:bCs/>
          <w:sz w:val="32"/>
          <w:szCs w:val="32"/>
          <w:lang w:val="en-US" w:eastAsia="zh-CN"/>
        </w:rPr>
        <w:t>七</w:t>
      </w:r>
      <w:r>
        <w:rPr>
          <w:b/>
          <w:bCs/>
          <w:sz w:val="32"/>
          <w:szCs w:val="32"/>
        </w:rPr>
        <w:t>、年末结转和结余资金：</w:t>
      </w:r>
      <w:r>
        <w:rPr>
          <w:sz w:val="32"/>
          <w:szCs w:val="32"/>
        </w:rPr>
        <w:t>指单位结转下年的基本支出结转、项目支出结转和结余、经营结余。</w:t>
      </w:r>
    </w:p>
    <w:p>
      <w:pPr>
        <w:keepNext w:val="0"/>
        <w:keepLines w:val="0"/>
        <w:widowControl/>
        <w:suppressLineNumbers w:val="0"/>
        <w:spacing w:before="0" w:beforeAutospacing="1" w:after="0" w:afterAutospacing="1" w:line="560" w:lineRule="atLeast"/>
        <w:ind w:left="0" w:right="0" w:firstLine="643"/>
        <w:jc w:val="both"/>
      </w:pPr>
      <w:r>
        <w:rPr>
          <w:rFonts w:hint="eastAsia"/>
          <w:b/>
          <w:bCs/>
          <w:sz w:val="32"/>
          <w:szCs w:val="32"/>
          <w:lang w:val="en-US" w:eastAsia="zh-CN"/>
        </w:rPr>
        <w:t>八</w:t>
      </w:r>
      <w:r>
        <w:rPr>
          <w:b/>
          <w:bCs/>
          <w:sz w:val="32"/>
          <w:szCs w:val="32"/>
        </w:rPr>
        <w:t>、基本支出：</w:t>
      </w:r>
      <w:r>
        <w:rPr>
          <w:sz w:val="32"/>
          <w:szCs w:val="32"/>
        </w:rPr>
        <w:t>指为保障机构正常运转、完成日常工作任务所发生的支出，包括人员经费和公用经费。</w:t>
      </w:r>
    </w:p>
    <w:p>
      <w:pPr>
        <w:keepNext w:val="0"/>
        <w:keepLines w:val="0"/>
        <w:widowControl/>
        <w:suppressLineNumbers w:val="0"/>
        <w:spacing w:before="0" w:beforeAutospacing="1" w:after="0" w:afterAutospacing="1" w:line="560" w:lineRule="atLeast"/>
        <w:ind w:left="0" w:right="0" w:firstLine="643"/>
        <w:jc w:val="both"/>
      </w:pPr>
      <w:r>
        <w:rPr>
          <w:rFonts w:hint="eastAsia"/>
          <w:b/>
          <w:bCs/>
          <w:sz w:val="32"/>
          <w:szCs w:val="32"/>
          <w:lang w:val="en-US" w:eastAsia="zh-CN"/>
        </w:rPr>
        <w:t>九</w:t>
      </w:r>
      <w:r>
        <w:rPr>
          <w:b/>
          <w:bCs/>
          <w:sz w:val="32"/>
          <w:szCs w:val="32"/>
        </w:rPr>
        <w:t>、项目支出：</w:t>
      </w:r>
      <w:r>
        <w:rPr>
          <w:sz w:val="32"/>
          <w:szCs w:val="32"/>
        </w:rPr>
        <w:t>指在为完成特定的工作任务和事业发展目标所发生的支出。</w:t>
      </w:r>
    </w:p>
    <w:p>
      <w:pPr>
        <w:keepNext w:val="0"/>
        <w:keepLines w:val="0"/>
        <w:widowControl/>
        <w:suppressLineNumbers w:val="0"/>
        <w:spacing w:before="0" w:beforeAutospacing="1" w:after="0" w:afterAutospacing="1" w:line="560" w:lineRule="atLeast"/>
        <w:ind w:left="0" w:right="0" w:firstLine="643"/>
        <w:jc w:val="both"/>
      </w:pPr>
      <w:r>
        <w:rPr>
          <w:b/>
          <w:bCs/>
          <w:sz w:val="32"/>
          <w:szCs w:val="32"/>
        </w:rPr>
        <w:t>十、</w:t>
      </w:r>
      <w:r>
        <w:rPr>
          <w:rFonts w:hint="default" w:ascii="Times New Roman" w:hAnsi="Times New Roman" w:cs="Times New Roman"/>
          <w:b/>
          <w:bCs/>
          <w:sz w:val="32"/>
          <w:szCs w:val="32"/>
          <w:lang w:val="en-US"/>
        </w:rPr>
        <w:t>“</w:t>
      </w:r>
      <w:r>
        <w:rPr>
          <w:b/>
          <w:bCs/>
          <w:sz w:val="32"/>
          <w:szCs w:val="32"/>
        </w:rPr>
        <w:t>三公</w:t>
      </w:r>
      <w:r>
        <w:rPr>
          <w:rFonts w:hint="default" w:ascii="Times New Roman" w:hAnsi="Times New Roman" w:cs="Times New Roman"/>
          <w:b/>
          <w:bCs/>
          <w:sz w:val="32"/>
          <w:szCs w:val="32"/>
          <w:lang w:val="en-US"/>
        </w:rPr>
        <w:t>”</w:t>
      </w:r>
      <w:r>
        <w:rPr>
          <w:b/>
          <w:bCs/>
          <w:sz w:val="32"/>
          <w:szCs w:val="32"/>
        </w:rPr>
        <w:t>经费：</w:t>
      </w:r>
      <w:r>
        <w:rPr>
          <w:sz w:val="32"/>
          <w:szCs w:val="32"/>
        </w:rPr>
        <w:t>指</w:t>
      </w:r>
      <w:r>
        <w:rPr>
          <w:sz w:val="32"/>
          <w:szCs w:val="32"/>
          <w:lang w:val="en-US"/>
        </w:rPr>
        <w:t>单位</w:t>
      </w:r>
      <w:r>
        <w:rPr>
          <w:sz w:val="32"/>
          <w:szCs w:val="32"/>
        </w:rPr>
        <w:t>用财政拨款安排的因公出国（境）费、公务用车购置及运行维护费和公务接待费。其中，因公出国（境）费反映</w:t>
      </w:r>
      <w:r>
        <w:rPr>
          <w:sz w:val="32"/>
          <w:szCs w:val="32"/>
          <w:lang w:val="en-US"/>
        </w:rPr>
        <w:t>单位)</w:t>
      </w:r>
      <w:r>
        <w:rPr>
          <w:sz w:val="32"/>
          <w:szCs w:val="32"/>
        </w:rPr>
        <w:t>公务出国（境）的国际旅费、国外城市间交通费、住宿费、伙食费、培训费、公杂费等支出；公务用车购置及运行维护费反映</w:t>
      </w:r>
      <w:r>
        <w:rPr>
          <w:sz w:val="32"/>
          <w:szCs w:val="32"/>
          <w:lang w:val="en-US"/>
        </w:rPr>
        <w:t>单位</w:t>
      </w:r>
      <w:r>
        <w:rPr>
          <w:sz w:val="32"/>
          <w:szCs w:val="32"/>
        </w:rPr>
        <w:t>公务用车购置支出（含车辆购置税、牌照费）以及按规定保留的公务用车燃料费、维修费、过路过桥费、保险费、安全奖励费用等支出；公务接待费反映</w:t>
      </w:r>
      <w:r>
        <w:rPr>
          <w:sz w:val="32"/>
          <w:szCs w:val="32"/>
          <w:lang w:val="en-US"/>
        </w:rPr>
        <w:t>单位</w:t>
      </w:r>
      <w:r>
        <w:rPr>
          <w:sz w:val="32"/>
          <w:szCs w:val="32"/>
        </w:rPr>
        <w:t>按规定开支的各类公务接待（含外宾接待）费用。</w:t>
      </w:r>
    </w:p>
    <w:p>
      <w:pPr>
        <w:keepNext w:val="0"/>
        <w:keepLines w:val="0"/>
        <w:widowControl/>
        <w:suppressLineNumbers w:val="0"/>
        <w:spacing w:before="0" w:beforeAutospacing="1" w:after="0" w:afterAutospacing="1" w:line="560" w:lineRule="atLeast"/>
        <w:ind w:left="0" w:right="0" w:firstLine="643"/>
        <w:jc w:val="both"/>
      </w:pPr>
      <w:r>
        <w:rPr>
          <w:b/>
          <w:bCs/>
          <w:sz w:val="32"/>
          <w:szCs w:val="32"/>
        </w:rPr>
        <w:t>十</w:t>
      </w:r>
      <w:r>
        <w:rPr>
          <w:rFonts w:hint="eastAsia"/>
          <w:b/>
          <w:bCs/>
          <w:sz w:val="32"/>
          <w:szCs w:val="32"/>
          <w:lang w:val="en-US" w:eastAsia="zh-CN"/>
        </w:rPr>
        <w:t>一</w:t>
      </w:r>
      <w:r>
        <w:rPr>
          <w:b/>
          <w:bCs/>
          <w:sz w:val="32"/>
          <w:szCs w:val="32"/>
        </w:rPr>
        <w:t>、机构运行经费：</w:t>
      </w:r>
      <w:r>
        <w:rPr>
          <w:sz w:val="32"/>
          <w:szCs w:val="32"/>
        </w:rPr>
        <w:t>指</w:t>
      </w:r>
      <w:r>
        <w:rPr>
          <w:sz w:val="32"/>
          <w:szCs w:val="32"/>
          <w:lang w:val="en-US"/>
        </w:rPr>
        <w:t>单位</w:t>
      </w:r>
      <w:r>
        <w:rPr>
          <w:sz w:val="32"/>
          <w:szCs w:val="32"/>
        </w:rPr>
        <w:t>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r>
        <w:rPr>
          <w:rFonts w:hint="default" w:ascii="Times New Roman" w:hAnsi="Times New Roman" w:cs="Times New Roman"/>
          <w:sz w:val="21"/>
          <w:szCs w:val="21"/>
          <w:lang w:val="en-US"/>
        </w:rPr>
        <w:t> </w:t>
      </w:r>
    </w:p>
    <w:p>
      <w:pPr>
        <w:pStyle w:val="5"/>
        <w:keepNext/>
        <w:keepLines w:val="0"/>
        <w:widowControl/>
        <w:suppressLineNumbers w:val="0"/>
        <w:spacing w:line="360" w:lineRule="auto"/>
        <w:jc w:val="center"/>
      </w:pPr>
      <w:r>
        <w:rPr>
          <w:rFonts w:hint="eastAsia" w:ascii="方正小标宋简体" w:hAnsi="方正小标宋简体" w:eastAsia="方正小标宋简体" w:cs="方正小标宋简体"/>
          <w:sz w:val="36"/>
          <w:szCs w:val="36"/>
        </w:rPr>
        <w:t>第四部分 决算公开联系方式及信息反馈渠道</w:t>
      </w:r>
    </w:p>
    <w:p>
      <w:pPr>
        <w:keepNext w:val="0"/>
        <w:keepLines w:val="0"/>
        <w:widowControl/>
        <w:suppressLineNumbers w:val="0"/>
        <w:spacing w:before="0" w:beforeAutospacing="1" w:after="0" w:afterAutospacing="1" w:line="600" w:lineRule="atLeast"/>
        <w:ind w:left="0" w:right="0"/>
        <w:jc w:val="both"/>
      </w:pPr>
      <w:r>
        <w:rPr>
          <w:rFonts w:hint="default" w:ascii="Times New Roman" w:hAnsi="Times New Roman" w:cs="Times New Roman"/>
          <w:sz w:val="36"/>
          <w:szCs w:val="36"/>
          <w:lang w:val="en-US"/>
        </w:rPr>
        <w:t> </w:t>
      </w:r>
    </w:p>
    <w:p>
      <w:pPr>
        <w:keepNext w:val="0"/>
        <w:keepLines w:val="0"/>
        <w:widowControl/>
        <w:suppressLineNumbers w:val="0"/>
        <w:spacing w:before="0" w:beforeAutospacing="1" w:after="0" w:afterAutospacing="1" w:line="600" w:lineRule="atLeast"/>
        <w:ind w:left="0" w:right="0" w:firstLine="640"/>
        <w:jc w:val="both"/>
      </w:pPr>
      <w:r>
        <w:rPr>
          <w:sz w:val="32"/>
          <w:szCs w:val="32"/>
        </w:rPr>
        <w:t>本单位决算公开信息反馈和联系方式：</w:t>
      </w:r>
    </w:p>
    <w:p>
      <w:pPr>
        <w:keepNext w:val="0"/>
        <w:keepLines w:val="0"/>
        <w:widowControl/>
        <w:suppressLineNumbers w:val="0"/>
        <w:spacing w:before="0" w:beforeAutospacing="1" w:after="0" w:afterAutospacing="1"/>
        <w:ind w:left="0" w:right="0"/>
      </w:pPr>
      <w:r>
        <w:rPr>
          <w:sz w:val="32"/>
          <w:szCs w:val="32"/>
        </w:rPr>
        <w:t>联系人：</w:t>
      </w:r>
      <w:r>
        <w:rPr>
          <w:sz w:val="32"/>
          <w:szCs w:val="32"/>
          <w:lang w:val="en-US"/>
        </w:rPr>
        <w:t xml:space="preserve">王玉鑫        </w:t>
      </w:r>
      <w:r>
        <w:rPr>
          <w:sz w:val="32"/>
          <w:szCs w:val="32"/>
        </w:rPr>
        <w:t>联系电话：</w:t>
      </w:r>
      <w:r>
        <w:rPr>
          <w:sz w:val="32"/>
          <w:szCs w:val="32"/>
          <w:lang w:val="en-US"/>
        </w:rPr>
        <w:t>0479-8253710</w:t>
      </w:r>
    </w:p>
    <w:p>
      <w:pPr>
        <w:keepNext w:val="0"/>
        <w:keepLines w:val="0"/>
        <w:widowControl/>
        <w:suppressLineNumbers w:val="0"/>
        <w:spacing w:before="0" w:beforeAutospacing="0" w:after="120" w:afterAutospacing="0"/>
        <w:ind w:left="420" w:right="0" w:firstLine="420"/>
        <w:jc w:val="both"/>
      </w:pPr>
      <w:r>
        <w:rPr>
          <w:rFonts w:hint="default" w:ascii="Times New Roman" w:hAnsi="Times New Roman" w:cs="Times New Roman"/>
          <w:sz w:val="21"/>
          <w:szCs w:val="21"/>
          <w:lang w:val="en-US"/>
        </w:rPr>
        <w:t> </w:t>
      </w:r>
    </w:p>
    <w:p>
      <w:pPr>
        <w:pStyle w:val="5"/>
        <w:keepNext/>
        <w:keepLines w:val="0"/>
        <w:widowControl/>
        <w:suppressLineNumbers w:val="0"/>
        <w:spacing w:line="360" w:lineRule="auto"/>
        <w:jc w:val="center"/>
      </w:pPr>
      <w:r>
        <w:rPr>
          <w:rFonts w:hint="eastAsia" w:ascii="方正小标宋简体" w:hAnsi="方正小标宋简体" w:eastAsia="方正小标宋简体" w:cs="方正小标宋简体"/>
          <w:sz w:val="36"/>
          <w:szCs w:val="36"/>
        </w:rPr>
        <w:t>第五部分 2022年度单位决算表</w:t>
      </w:r>
    </w:p>
    <w:p>
      <w:pPr>
        <w:keepNext w:val="0"/>
        <w:keepLines w:val="0"/>
        <w:widowControl/>
        <w:suppressLineNumbers w:val="0"/>
        <w:spacing w:before="0" w:beforeAutospacing="1" w:after="0" w:afterAutospacing="1" w:line="600" w:lineRule="atLeast"/>
        <w:ind w:left="0" w:right="0"/>
        <w:jc w:val="both"/>
      </w:pPr>
      <w:r>
        <w:rPr>
          <w:rFonts w:hint="default" w:ascii="Times New Roman" w:hAnsi="Times New Roman" w:cs="Times New Roman"/>
          <w:sz w:val="36"/>
          <w:szCs w:val="36"/>
          <w:lang w:val="en-US"/>
        </w:rPr>
        <w:t> </w:t>
      </w:r>
    </w:p>
    <w:p>
      <w:pPr>
        <w:keepNext w:val="0"/>
        <w:keepLines w:val="0"/>
        <w:widowControl/>
        <w:suppressLineNumbers w:val="0"/>
        <w:spacing w:before="0" w:beforeAutospacing="1" w:after="0" w:afterAutospacing="1" w:line="600" w:lineRule="atLeast"/>
        <w:ind w:left="0" w:right="0" w:firstLine="640"/>
        <w:jc w:val="both"/>
      </w:pPr>
      <w:r>
        <w:rPr>
          <w:sz w:val="32"/>
          <w:szCs w:val="32"/>
        </w:rPr>
        <w:t>详见附件。</w:t>
      </w:r>
    </w:p>
    <w:p>
      <w:pPr>
        <w:keepNext w:val="0"/>
        <w:keepLines w:val="0"/>
        <w:widowControl/>
        <w:suppressLineNumbers w:val="0"/>
        <w:spacing w:before="0" w:beforeAutospacing="1" w:after="0" w:afterAutospacing="1"/>
        <w:ind w:left="0" w:right="0"/>
      </w:pPr>
      <w:r>
        <w:t> </w:t>
      </w:r>
    </w:p>
    <w:p>
      <w:pPr>
        <w:keepNext w:val="0"/>
        <w:keepLines w:val="0"/>
        <w:widowControl/>
        <w:suppressLineNumbers w:val="0"/>
        <w:spacing w:before="0" w:beforeAutospacing="1" w:after="0" w:afterAutospacing="1"/>
        <w:ind w:left="0" w:right="0"/>
      </w:pPr>
      <w:r>
        <w:rPr>
          <w:sz w:val="32"/>
          <w:szCs w:val="32"/>
          <w:lang w:val="en-US"/>
        </w:rPr>
        <w:t> </w:t>
      </w:r>
    </w:p>
    <w:p>
      <w:pPr>
        <w:keepNext w:val="0"/>
        <w:keepLines w:val="0"/>
        <w:widowControl/>
        <w:suppressLineNumbers w:val="0"/>
        <w:spacing w:before="0" w:beforeAutospacing="1" w:after="0" w:afterAutospacing="1"/>
        <w:ind w:left="0" w:right="0"/>
      </w:pPr>
      <w:r>
        <w:rPr>
          <w:sz w:val="32"/>
          <w:szCs w:val="32"/>
          <w:lang w:val="en-US"/>
        </w:rPr>
        <w:t> </w:t>
      </w:r>
    </w:p>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楷体简体">
    <w:altName w:val="宋体"/>
    <w:panose1 w:val="00000000000000000000"/>
    <w:charset w:val="00"/>
    <w:family w:val="auto"/>
    <w:pitch w:val="default"/>
    <w:sig w:usb0="00000000" w:usb1="00000000" w:usb2="00000000" w:usb3="00000000" w:csb0="00000000" w:csb1="00000000"/>
  </w:font>
  <w:font w:name="仿宋">
    <w:altName w:val="宋体"/>
    <w:panose1 w:val="02010609060101010101"/>
    <w:charset w:val="86"/>
    <w:family w:val="auto"/>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BB1F1"/>
    <w:multiLevelType w:val="multilevel"/>
    <w:tmpl w:val="994BB1F1"/>
    <w:lvl w:ilvl="0" w:tentative="0">
      <w:start w:val="1"/>
      <w:numFmt w:val="japaneseCounting"/>
      <w:lvlText w:val="%1、"/>
      <w:lvlJc w:val="left"/>
      <w:pPr>
        <w:ind w:left="1310" w:hanging="720"/>
      </w:pPr>
      <w:rPr>
        <w:rFonts w:hint="default"/>
      </w:rPr>
    </w:lvl>
    <w:lvl w:ilvl="1" w:tentative="0">
      <w:start w:val="1"/>
      <w:numFmt w:val="lowerLetter"/>
      <w:lvlText w:val="%2)"/>
      <w:lvlJc w:val="left"/>
      <w:pPr>
        <w:ind w:left="1430" w:hanging="420"/>
      </w:pPr>
    </w:lvl>
    <w:lvl w:ilvl="2" w:tentative="0">
      <w:start w:val="1"/>
      <w:numFmt w:val="lowerRoman"/>
      <w:lvlText w:val="%3."/>
      <w:lvlJc w:val="right"/>
      <w:pPr>
        <w:ind w:left="1850" w:hanging="420"/>
      </w:pPr>
    </w:lvl>
    <w:lvl w:ilvl="3" w:tentative="0">
      <w:start w:val="1"/>
      <w:numFmt w:val="decimal"/>
      <w:lvlText w:val="%4."/>
      <w:lvlJc w:val="left"/>
      <w:pPr>
        <w:ind w:left="2270" w:hanging="420"/>
      </w:pPr>
    </w:lvl>
    <w:lvl w:ilvl="4" w:tentative="0">
      <w:start w:val="1"/>
      <w:numFmt w:val="lowerLetter"/>
      <w:lvlText w:val="%5)"/>
      <w:lvlJc w:val="left"/>
      <w:pPr>
        <w:ind w:left="2690" w:hanging="420"/>
      </w:pPr>
    </w:lvl>
    <w:lvl w:ilvl="5" w:tentative="0">
      <w:start w:val="1"/>
      <w:numFmt w:val="lowerRoman"/>
      <w:lvlText w:val="%6."/>
      <w:lvlJc w:val="right"/>
      <w:pPr>
        <w:ind w:left="3110" w:hanging="420"/>
      </w:pPr>
    </w:lvl>
    <w:lvl w:ilvl="6" w:tentative="0">
      <w:start w:val="1"/>
      <w:numFmt w:val="decimal"/>
      <w:lvlText w:val="%7."/>
      <w:lvlJc w:val="left"/>
      <w:pPr>
        <w:ind w:left="3530" w:hanging="420"/>
      </w:pPr>
    </w:lvl>
    <w:lvl w:ilvl="7" w:tentative="0">
      <w:start w:val="1"/>
      <w:numFmt w:val="lowerLetter"/>
      <w:lvlText w:val="%8)"/>
      <w:lvlJc w:val="left"/>
      <w:pPr>
        <w:ind w:left="3950" w:hanging="420"/>
      </w:pPr>
    </w:lvl>
    <w:lvl w:ilvl="8" w:tentative="0">
      <w:start w:val="1"/>
      <w:numFmt w:val="lowerRoman"/>
      <w:lvlText w:val="%9."/>
      <w:lvlJc w:val="right"/>
      <w:pPr>
        <w:ind w:left="4370" w:hanging="420"/>
      </w:pPr>
    </w:lvl>
  </w:abstractNum>
  <w:abstractNum w:abstractNumId="1">
    <w:nsid w:val="ADA24D32"/>
    <w:multiLevelType w:val="singleLevel"/>
    <w:tmpl w:val="ADA24D32"/>
    <w:lvl w:ilvl="0" w:tentative="0">
      <w:start w:val="1"/>
      <w:numFmt w:val="chineseCounting"/>
      <w:suff w:val="nothing"/>
      <w:lvlText w:val="（%1）"/>
      <w:lvlJc w:val="left"/>
      <w:pPr>
        <w:ind w:left="240"/>
      </w:pPr>
      <w:rPr>
        <w:rFonts w:hint="eastAsia"/>
      </w:rPr>
    </w:lvl>
  </w:abstractNum>
  <w:abstractNum w:abstractNumId="2">
    <w:nsid w:val="B3138E95"/>
    <w:multiLevelType w:val="singleLevel"/>
    <w:tmpl w:val="B3138E95"/>
    <w:lvl w:ilvl="0" w:tentative="0">
      <w:start w:val="1"/>
      <w:numFmt w:val="chineseCounting"/>
      <w:suff w:val="nothing"/>
      <w:lvlText w:val="%1、"/>
      <w:lvlJc w:val="left"/>
      <w:rPr>
        <w:rFonts w:hint="eastAsia"/>
      </w:rPr>
    </w:lvl>
  </w:abstractNum>
  <w:abstractNum w:abstractNumId="3">
    <w:nsid w:val="FBB8592C"/>
    <w:multiLevelType w:val="singleLevel"/>
    <w:tmpl w:val="FBB8592C"/>
    <w:lvl w:ilvl="0" w:tentative="0">
      <w:start w:val="1"/>
      <w:numFmt w:val="chineseCounting"/>
      <w:suff w:val="nothing"/>
      <w:lvlText w:val="（%1）"/>
      <w:lvlJc w:val="left"/>
      <w:rPr>
        <w:rFonts w:hint="eastAsia"/>
      </w:rPr>
    </w:lvl>
  </w:abstractNum>
  <w:abstractNum w:abstractNumId="4">
    <w:nsid w:val="0CF258D6"/>
    <w:multiLevelType w:val="singleLevel"/>
    <w:tmpl w:val="0CF258D6"/>
    <w:lvl w:ilvl="0" w:tentative="0">
      <w:start w:val="2"/>
      <w:numFmt w:val="chineseCounting"/>
      <w:suff w:val="nothing"/>
      <w:lvlText w:val="（%1）"/>
      <w:lvlJc w:val="left"/>
      <w:rPr>
        <w:rFonts w:hint="eastAsia"/>
      </w:rPr>
    </w:lvl>
  </w:abstractNum>
  <w:abstractNum w:abstractNumId="5">
    <w:nsid w:val="4037519A"/>
    <w:multiLevelType w:val="singleLevel"/>
    <w:tmpl w:val="4037519A"/>
    <w:lvl w:ilvl="0" w:tentative="0">
      <w:start w:val="1"/>
      <w:numFmt w:val="decimal"/>
      <w:suff w:val="nothing"/>
      <w:lvlText w:val="%1．"/>
      <w:lvlJc w:val="left"/>
    </w:lvl>
  </w:abstractNum>
  <w:abstractNum w:abstractNumId="6">
    <w:nsid w:val="4EE62E4D"/>
    <w:multiLevelType w:val="singleLevel"/>
    <w:tmpl w:val="4EE62E4D"/>
    <w:lvl w:ilvl="0" w:tentative="0">
      <w:start w:val="1"/>
      <w:numFmt w:val="decimal"/>
      <w:suff w:val="space"/>
      <w:lvlText w:val="%1."/>
      <w:lvlJc w:val="left"/>
    </w:lvl>
  </w:abstractNum>
  <w:num w:numId="1">
    <w:abstractNumId w:val="2"/>
  </w:num>
  <w:num w:numId="2">
    <w:abstractNumId w:val="6"/>
  </w:num>
  <w:num w:numId="3">
    <w:abstractNumId w:val="5"/>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2N2M0ZjY5N2U4ODFjMzdlNmM2ZmMzYWQ3Yjg3N2IifQ=="/>
  </w:docVars>
  <w:rsids>
    <w:rsidRoot w:val="00000000"/>
    <w:rsid w:val="01D17056"/>
    <w:rsid w:val="06693D01"/>
    <w:rsid w:val="0B9E01C8"/>
    <w:rsid w:val="0D1D187E"/>
    <w:rsid w:val="18AB1187"/>
    <w:rsid w:val="1CCD213E"/>
    <w:rsid w:val="20931C4F"/>
    <w:rsid w:val="221A1D58"/>
    <w:rsid w:val="250323DD"/>
    <w:rsid w:val="26CB1A16"/>
    <w:rsid w:val="32442A91"/>
    <w:rsid w:val="38003C16"/>
    <w:rsid w:val="3DF41EFA"/>
    <w:rsid w:val="44F7794D"/>
    <w:rsid w:val="49635DB3"/>
    <w:rsid w:val="49D2110E"/>
    <w:rsid w:val="4EB71E92"/>
    <w:rsid w:val="5BBF9E57"/>
    <w:rsid w:val="64462101"/>
    <w:rsid w:val="74185868"/>
    <w:rsid w:val="7B130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Theme="minorEastAsia" w:hAnsiTheme="minorEastAsia" w:eastAsiaTheme="minorEastAsia" w:cstheme="minorEastAsia"/>
      <w:kern w:val="0"/>
      <w:sz w:val="24"/>
      <w:szCs w:val="24"/>
      <w:lang w:val="en-US" w:eastAsia="zh-CN" w:bidi="ar"/>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left="0" w:leftChars="0" w:firstLine="420"/>
    </w:pPr>
    <w:rPr>
      <w:rFonts w:ascii="仿宋_GB2312" w:hAnsi="Calibri" w:eastAsia="仿宋_GB2312"/>
      <w:sz w:val="32"/>
    </w:rPr>
  </w:style>
  <w:style w:type="paragraph" w:styleId="3">
    <w:name w:val="Body Text Indent"/>
    <w:basedOn w:val="1"/>
    <w:next w:val="2"/>
    <w:qFormat/>
    <w:uiPriority w:val="0"/>
    <w:pPr>
      <w:spacing w:after="120"/>
      <w:ind w:left="420" w:leftChars="200"/>
    </w:pPr>
  </w:style>
  <w:style w:type="paragraph" w:styleId="6">
    <w:name w:val="footer"/>
    <w:basedOn w:val="1"/>
    <w:qFormat/>
    <w:uiPriority w:val="0"/>
    <w:pPr>
      <w:tabs>
        <w:tab w:val="center" w:pos="4153"/>
        <w:tab w:val="right" w:pos="8306"/>
      </w:tabs>
      <w:snapToGrid w:val="0"/>
      <w:spacing w:line="240" w:lineRule="auto"/>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政府性基金预算拨款收入</c:v>
                </c:pt>
                <c:pt idx="1">
                  <c:v>事业收入</c:v>
                </c:pt>
                <c:pt idx="2">
                  <c:v>其他收入</c:v>
                </c:pt>
                <c:pt idx="3">
                  <c:v>一般公共预算财政拨款收入</c:v>
                </c:pt>
              </c:strCache>
            </c:strRef>
          </c:cat>
          <c:val>
            <c:numRef>
              <c:f>Sheet1!$B$2:$B$5</c:f>
              <c:numCache>
                <c:formatCode>0.00%</c:formatCode>
                <c:ptCount val="4"/>
                <c:pt idx="0">
                  <c:v>0.0028</c:v>
                </c:pt>
                <c:pt idx="1">
                  <c:v>0.7465</c:v>
                </c:pt>
                <c:pt idx="2">
                  <c:v>0.0079</c:v>
                </c:pt>
                <c:pt idx="3">
                  <c:v>0.2428</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基本支出</c:v>
                </c:pt>
                <c:pt idx="1">
                  <c:v>项目支出</c:v>
                </c:pt>
              </c:strCache>
            </c:strRef>
          </c:cat>
          <c:val>
            <c:numRef>
              <c:f>Sheet1!$B$2:$B$5</c:f>
              <c:numCache>
                <c:formatCode>0.00%</c:formatCode>
                <c:ptCount val="4"/>
                <c:pt idx="0">
                  <c:v>0.9832</c:v>
                </c:pt>
                <c:pt idx="1">
                  <c:v>0.0168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14179</Words>
  <Characters>16117</Characters>
  <Lines>0</Lines>
  <Paragraphs>0</Paragraphs>
  <TotalTime>12</TotalTime>
  <ScaleCrop>false</ScaleCrop>
  <LinksUpToDate>false</LinksUpToDate>
  <CharactersWithSpaces>16875</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2023-08-09T09:02:00Z</dcterms:created>
  <dc:creator>QHTF</dc:creator>
  <cp:lastModifiedBy>inspur</cp:lastModifiedBy>
  <dcterms:modified xsi:type="dcterms:W3CDTF">2023-08-18T09:59:04Z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21CFFE42BF304B59AB17B0B369FA453F_12</vt:lpwstr>
  </property>
</Properties>
</file>